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C70E" w14:textId="77777777" w:rsidR="00B60E12" w:rsidRDefault="009E575D">
      <w:pPr>
        <w:pStyle w:val="1"/>
      </w:pPr>
      <w:r>
        <w:t>第1章 绪论</w:t>
      </w:r>
    </w:p>
    <w:p>
      <w:pPr>
        <w:pStyle w:val="21"/>
      </w:pPr>
      <w:r>
        <w:t>工程图学与信息化建模</w:t>
      </w:r>
    </w:p>
    <w:p w14:paraId="694036CE" w14:textId="77777777" w:rsidR="00B60E12" w:rsidRDefault="009E575D">
      <w:pPr/>
      <w:r>
        <w:t>机械零件的制造、房屋与桥梁的建造、水利枢纽和变电站的建设，都需要把设计意图准确地传达给不同岗位的工程人员。一个构件是什么形状、具有多大尺寸、位于什么位置、采用什么材料、怎样与其他构件连接，这些问题通常需要借助工程图样和数字模型加以说明。工程表达贯穿设计、制造、施工及使用维护过程，是开展工程技术工作的基本手段。</w:t>
      </w:r>
    </w:p>
    <w:p w14:paraId="5F836B0E" w14:textId="77777777" w:rsidR="00B60E12" w:rsidRDefault="009E575D">
      <w:pPr/>
      <w:r>
        <w:t>本课程以工程形体及其表达为学习对象，将投影理论、图样识绘、三维建模和工程信息组织联系起来。通过学习，逐步掌握从空间形体形成平面图样、根据图样想象空间形体、建立三维模型并表达有关属性的基本方法，为后续专业课程、工程设计和实践训练奠定基础。本章介绍课程的基本内容、能力目标和学习方法，说明不同表达工具的联系，以及规范、准确地传递工程信息的要求。</w:t>
      </w:r>
    </w:p>
    <w:p w14:paraId="4FAED958" w14:textId="77777777" w:rsidR="00B60E12" w:rsidRDefault="009E575D">
      <w:pPr>
        <w:pStyle w:val="书稿辅助标题"/>
      </w:pPr>
      <w:r>
        <w:rPr/>
        <w:t>本章学习目标</w:t>
      </w:r>
    </w:p>
    <w:p w14:paraId="01D4D5F8" w14:textId="77777777" w:rsidR="00B60E12" w:rsidRDefault="009E575D">
      <w:pPr/>
      <w:r>
        <w:t>了解工程图样的作用及工程表达方式的发展；初步理解空间形体与平面图形之间的投影联系；明确空间形体分析、图样识绘、三维建模和图模转换的学习任务；认识几何信息、非几何属性信息及对象关系；了解机械、土木、水利和电力工程制图的共性与差异，形成遵守标准和认真负责的学习习惯。</w:t>
      </w:r>
    </w:p>
    <w:p w14:paraId="5D214C21" w14:textId="77777777" w:rsidR="00B60E12" w:rsidRDefault="009E575D">
      <w:pPr/>
      <w:r>
        <w:t>本章重点是理解图样、形体和模型之间的联系。学习时应结合实物与示意图观察、思考，暂不要求熟练掌握软件命令或复杂专业图样的画法。</w:t>
      </w:r>
    </w:p>
    <w:p w14:paraId="6172814E" w14:textId="77777777" w:rsidR="00B60E12" w:rsidRDefault="009E575D">
      <w:pPr>
        <w:pStyle w:val="31"/>
      </w:pPr>
      <w:r>
        <w:t xml:space="preserve">1.1 </w:t>
      </w:r>
      <w:r>
        <w:t>工程表达的发展</w:t>
      </w:r>
    </w:p>
    <w:p w14:paraId="00D76CB9" w14:textId="77777777" w:rsidR="00B60E12" w:rsidRDefault="009E575D">
      <w:pPr>
        <w:pStyle w:val="4"/>
      </w:pPr>
      <w:r>
        <w:t xml:space="preserve">1.1.1 </w:t>
      </w:r>
      <w:r>
        <w:t>工程图样与工程图学</w:t>
      </w:r>
    </w:p>
    <w:p w14:paraId="6372B173" w14:textId="77777777" w:rsidR="00B60E12" w:rsidRDefault="009E575D">
      <w:pPr/>
      <w:r>
        <w:t>工程图样是按照一定投影方法和表达规则，用图形、尺寸、符号及文字说明表达工程对象的技术文件。图形着重表达形状、结构与位置，尺寸确定大小和定位，符号与文字补充材料、构造及技术要求。工程人员通过绘图表达设计意图，通过读图理解对象并开展后续工作。工程制图包含形成和识读这些图样所需的理论、方法与技术。</w:t>
      </w:r>
      <w:r>
        <w:rPr>
          <w:sz w:val="15"/>
          <w:vertAlign w:val="superscript"/>
        </w:rPr>
        <w:t>[1]</w:t>
      </w:r>
    </w:p>
    <w:p w14:paraId="420E641E" w14:textId="77777777" w:rsidR="00B60E12" w:rsidRDefault="009E575D">
      <w:pPr/>
      <w:r>
        <w:t>真实工程对象具有形状、材料、用途等多种特征。研究形状时，可以暂时撇开材料、颜色等因素，把对象抽象为具有一定大小、形状和位置的几何形体。例如，厂房柱可先抽象为棱柱，带孔底座可先看作长方体切去一个圆柱体。由复杂对象识别基本形体及其相互关系，是学习读图、绘图和建模的共同起点。</w:t>
      </w:r>
    </w:p>
    <w:p w14:paraId="3D23A1F3" w14:textId="77777777" w:rsidR="00B60E12" w:rsidRDefault="009E575D">
      <w:pPr/>
      <w:r>
        <w:t>把三维形体表达在二维平面上，需要建立空间与平面之间的对应关系。投影法通过投射线将形体上的点投射到投影面上；当投射线相互平行并垂直于投影面时，称为正投影。</w:t>
      </w:r>
      <w:r>
        <w:lastRenderedPageBreak/>
        <w:t>工程图样常从几个选定方向取得正投影，再按照规定关系配置视图，以表达形体的不同方面。一个视图能够反映部分形状和尺寸，几个相互联系的视图可以共同说明空间结构。</w:t>
      </w:r>
      <w:r>
        <w:rPr>
          <w:sz w:val="15"/>
          <w:vertAlign w:val="superscript"/>
        </w:rPr>
        <w:t>[2][3]</w:t>
      </w:r>
    </w:p>
    <w:p w14:paraId="1B08B2F5" w14:textId="77777777" w:rsidR="00B60E12" w:rsidRDefault="009E575D">
      <w:pPr/>
      <w:r>
        <w:t>工程图学为上述表达提供理论基础。学习中既要理解点、线、面与形体的投影规律，也要掌握工程图样的表达方法，并把几何分析与实际构造联系起来。照片或三维外观图便于获得直观印象，规范图样则通过规定的视图、尺寸和说明传递较为明确的技术信息。</w:t>
      </w:r>
    </w:p>
    <w:p w14:paraId="37C62604" w14:textId="77777777" w:rsidR="00B60E12" w:rsidRDefault="009E575D">
      <w:pPr>
        <w:pStyle w:val="4"/>
      </w:pPr>
      <w:r>
        <w:t xml:space="preserve">1.1.2 </w:t>
      </w:r>
      <w:r>
        <w:t>从手工绘图到二维</w:t>
      </w:r>
      <w:r>
        <w:t>CAD</w:t>
      </w:r>
    </w:p>
    <w:p w14:paraId="47AD2618" w14:textId="77777777" w:rsidR="00B60E12" w:rsidRDefault="009E575D">
      <w:pPr/>
      <w:r>
        <w:t>手工绘图主要包括徒手草图和使用绘图工具绘制图样。草图便于记录观察结果、交流构思和分析结构。例如，讨论一个底座的改进方案时，可以先画出外轮廓和孔的位置，再补充厚度与主要尺寸。使用尺规等绘图工具，则可按要求完成较为规整的图样。手工绘图训练有助于把观察、空间想象与图形表达联系起来。</w:t>
      </w:r>
    </w:p>
    <w:p w14:paraId="589B3ADD" w14:textId="77777777" w:rsidR="00B60E12" w:rsidRDefault="009E575D">
      <w:pPr/>
      <w:r>
        <w:t>CAD</w:t>
      </w:r>
      <w:r>
        <w:t>是计算机辅助设计（</w:t>
      </w:r>
      <w:r>
        <w:t>computer-aided design</w:t>
      </w:r>
      <w:r>
        <w:t>）的英文缩写。二维</w:t>
      </w:r>
      <w:r>
        <w:t>CAD</w:t>
      </w:r>
      <w:r>
        <w:t>以平面图形为主要表达形式，借助计算机完成线段、圆弧、图块、尺寸和文字等内容的绘制与编辑。与手工绘图相比，修改、复制、存储和输出图样更为方便；绘图者仍需确定视图关系、表达方案和尺寸标注。</w:t>
      </w:r>
    </w:p>
    <w:p w14:paraId="562E0973" w14:textId="77777777" w:rsidR="00B60E12" w:rsidRDefault="009E575D">
      <w:pPr/>
      <w:r>
        <w:t>绘图工具的变化并未改变工程表达的基本要求。例如，将底座长度由</w:t>
      </w:r>
      <w:r>
        <w:t>200 mm</w:t>
      </w:r>
      <w:r>
        <w:t>改为</w:t>
      </w:r>
      <w:r>
        <w:t>220 mm</w:t>
      </w:r>
      <w:r>
        <w:t>时，应修改相关几何图形和关联尺寸，仅把尺寸文字改为</w:t>
      </w:r>
      <w:r>
        <w:t>“220”</w:t>
      </w:r>
      <w:r>
        <w:t>会造成表达不一致。软件操作应建立在读懂形体、理解投影和掌握制图规则的基础上。</w:t>
      </w:r>
    </w:p>
    <w:p w14:paraId="3F2D6076" w14:textId="77777777" w:rsidR="00B60E12" w:rsidRDefault="009E575D">
      <w:pPr>
        <w:pStyle w:val="4"/>
      </w:pPr>
      <w:r>
        <w:t xml:space="preserve">1.1.3 </w:t>
      </w:r>
      <w:r>
        <w:t>从三维几何建模到信息化工程模型</w:t>
      </w:r>
    </w:p>
    <w:p w14:paraId="4ADA66FC" w14:textId="77777777" w:rsidR="00B60E12" w:rsidRDefault="009E575D">
      <w:pPr/>
      <w:r>
        <w:t>模型是根据一定目的对对象作出的抽象表达，保留完成任务所需的特征，而不必复制对象的全部细节。三维几何建模直接在计算机中建立对象的空间形体。模型可以转动观察、进行剖切，也可以用于生成不同方向的视图。建立简单形体时，常从二维轮廓出发，通过拉伸、旋转等操作生成实体，再通过叠加或切除形成孔、槽、凸台等结构。这样，形体分析与模型构建之间便形成了直接联系。</w:t>
      </w:r>
      <w:r>
        <w:rPr>
          <w:sz w:val="15"/>
          <w:vertAlign w:val="superscript"/>
        </w:rPr>
        <w:t>[4]</w:t>
      </w:r>
    </w:p>
    <w:p w14:paraId="37AD9C67" w14:textId="77777777" w:rsidR="00B60E12" w:rsidRDefault="009E575D">
      <w:pPr/>
      <w:r>
        <w:t>在参数化建模中，长度、孔径等数值可以作为参数；平行、垂直、同心以及距离等条件可以作为约束。孔、槽、凸台等具有一定形状和作用的结构，可以按建模系统的规则组织为特征。以带孔底座为例，长、宽、厚与孔径确定其主要尺寸；孔轴垂直于底座顶面并通过顶面中心的条件，确定孔的方向和位置。参数与约束共同表达建模意图，修改时应理解它们之间的关联。</w:t>
      </w:r>
      <w:r>
        <w:rPr>
          <w:sz w:val="15"/>
          <w:vertAlign w:val="superscript"/>
        </w:rPr>
        <w:t>[5]</w:t>
      </w:r>
    </w:p>
    <w:p w14:paraId="1A55E081" w14:textId="77777777" w:rsidR="00B60E12" w:rsidRDefault="009E575D">
      <w:pPr/>
      <w:r>
        <w:t>工程模型还可以包含超出外形的内容。机械产品模型能够记录材料、加工要求和装配关系；建筑及工程构件模型能够记录构件类别、编号、所属楼层和其他专业属性。信息化建模据此把形体与工程数据组织起来，使同一对象的几何表达和有关信息相互关联。机械产品与建筑工程采用的信息组织方式有其专业特点，不能把所有带属性的三维模型都称为</w:t>
      </w:r>
      <w:r>
        <w:t>BIM</w:t>
      </w:r>
      <w:r>
        <w:t>。</w:t>
      </w:r>
      <w:r>
        <w:rPr>
          <w:sz w:val="15"/>
          <w:vertAlign w:val="superscript"/>
        </w:rPr>
        <w:t>[4][6]</w:t>
      </w:r>
    </w:p>
    <w:p w14:paraId="6B927A78" w14:textId="77777777" w:rsidR="00B60E12" w:rsidRDefault="009E575D">
      <w:pPr/>
      <w:r>
        <w:lastRenderedPageBreak/>
        <w:t>图</w:t>
      </w:r>
      <w:r>
        <w:t>1-1</w:t>
      </w:r>
      <w:r>
        <w:t>概括了工程表达从手工图样、二维</w:t>
      </w:r>
      <w:r>
        <w:t>CAD</w:t>
      </w:r>
      <w:r>
        <w:t>到三维模型和信息模型的发展联系。不同方式在工程中仍可并用：构思时可画草图，技术交底时可查阅图样，观察空间关系时可使用模型，查询构件资料时可利用模型所关联的信息。</w:t>
      </w:r>
    </w:p>
    <w:p w14:paraId="6D7143FA" w14:textId="77777777" w:rsidR="00B60E12" w:rsidRDefault="009E575D">
      <w:pPr>
        <w:keepNext/>
        <w:spacing w:before="100" w:line="240" w:lineRule="auto"/>
        <w:ind w:firstLine="0" w:firstLineChars="0"/>
        <w:jc w:val="center"/>
      </w:pPr>
      <w:r>
        <w:rPr>
          <w:noProof/>
        </w:rPr>
        <w:drawing>
          <wp:inline distT="0" distB="0" distL="0" distR="0" wp14:anchorId="35A9D391" wp14:editId="4F263645">
            <wp:extent cx="5220000" cy="1621350"/>
            <wp:effectExtent l="0" t="0" r="0" b="0"/>
            <wp:docPr id="1" name="Picture 1" descr="图1-1 工程表达方式及其相互联系" title="图1-1 工程表达方式及其相互联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png"/>
                    <pic:cNvPicPr/>
                  </pic:nvPicPr>
                  <pic:blipFill>
                    <a:blip r:embed="rId8"/>
                    <a:stretch>
                      <a:fillRect/>
                    </a:stretch>
                  </pic:blipFill>
                  <pic:spPr>
                    <a:xfrm>
                      <a:off x="0" y="0"/>
                      <a:ext cx="5220000" cy="1621350"/>
                    </a:xfrm>
                    <a:prstGeom prst="rect">
                      <a:avLst/>
                    </a:prstGeom>
                  </pic:spPr>
                </pic:pic>
              </a:graphicData>
            </a:graphic>
          </wp:inline>
        </w:drawing>
      </w:r>
    </w:p>
    <w:p w14:paraId="2D49CDB9" w14:textId="77777777" w:rsidR="00B60E12" w:rsidRDefault="009E575D">
      <w:pPr>
        <w:pStyle w:val="af7"/>
        <w:keepNext/>
      </w:pPr>
      <w:r>
        <w:t>图</w:t>
      </w:r>
      <w:r>
        <w:t xml:space="preserve">1-1 </w:t>
      </w:r>
      <w:r>
        <w:t>工程表达方式及其相互联系</w:t>
      </w:r>
    </w:p>
    <w:p w14:paraId="03660E73" w14:textId="77777777" w:rsidR="00B60E12" w:rsidRDefault="009E575D">
      <w:pPr>
        <w:pStyle w:val="Figurenote"/>
      </w:pPr>
      <w:r>
        <w:t>图中箭头表示表达与信息组织能力的扩展，不表示后一种方式完全取代前一种方式。</w:t>
      </w:r>
    </w:p>
    <w:p w14:paraId="7D44F5E4" w14:textId="77777777" w:rsidR="00B60E12" w:rsidRDefault="009E575D">
      <w:pPr>
        <w:pStyle w:val="Resource"/>
      </w:pPr>
      <w:r>
        <w:t>配套资源</w:t>
      </w:r>
      <w:r>
        <w:t xml:space="preserve"> R1-01</w:t>
      </w:r>
      <w:r>
        <w:t xml:space="preserve">　工程表达演进</w:t>
      </w:r>
    </w:p>
    <w:p w14:paraId="599A1ACC" w14:textId="77777777" w:rsidR="00B60E12" w:rsidRDefault="009E575D">
      <w:pPr>
        <w:pStyle w:val="31"/>
      </w:pPr>
      <w:r>
        <w:t xml:space="preserve">1.2 </w:t>
      </w:r>
      <w:r>
        <w:t>课程能力目标</w:t>
      </w:r>
    </w:p>
    <w:p w14:paraId="0802DE67" w14:textId="77777777" w:rsidR="00B60E12" w:rsidRDefault="009E575D">
      <w:pPr/>
      <w:r>
        <w:t>本课程具有理论与实践相结合的特点。学习者需要理解表达原理，通过绘图、读图和建模练习形成基本技能，并逐步获得分析形体、表达构思和交流工程信息的能力。以下四项能力相互联系，应在同一对象的学习过程中共同训练。</w:t>
      </w:r>
    </w:p>
    <w:p w14:paraId="711AC42C" w14:textId="77777777" w:rsidR="00B60E12" w:rsidRDefault="009E575D">
      <w:pPr>
        <w:pStyle w:val="4"/>
      </w:pPr>
      <w:r>
        <w:t xml:space="preserve">1.2.1 </w:t>
      </w:r>
      <w:r>
        <w:t>空间形体分析</w:t>
      </w:r>
    </w:p>
    <w:p w14:paraId="2AE4B303" w14:textId="77777777" w:rsidR="00B60E12" w:rsidRDefault="009E575D">
      <w:pPr/>
      <w:r>
        <w:t>空间形体分析是识别对象的基本组成、组合方式和位置关系的能力。观察一个复杂构件时，可先把握整体轮廓，再找出组成它的基本形体，分析各部分的叠加、切除及相互位置关系，最后考察孔槽等局部结构。由整体到局部进行分析，有助于把空间印象转化为能够表达的几何关系。</w:t>
      </w:r>
    </w:p>
    <w:p w14:paraId="22B44AA4" w14:textId="77777777" w:rsidR="00B60E12" w:rsidRDefault="009E575D">
      <w:pPr/>
      <w:r>
        <w:t>图</w:t>
      </w:r>
      <w:r>
        <w:t>1-2</w:t>
      </w:r>
      <w:r>
        <w:t>所示底座可看作一个长方体切去一个圆柱体。本例规定底座长</w:t>
      </w:r>
      <w:r>
        <w:t>200 mm</w:t>
      </w:r>
      <w:r>
        <w:t>、宽</w:t>
      </w:r>
      <w:r>
        <w:t>120 mm</w:t>
      </w:r>
      <w:r>
        <w:t>、厚</w:t>
      </w:r>
      <w:r>
        <w:t>40 mm</w:t>
      </w:r>
      <w:r>
        <w:t>，中心设置直径</w:t>
      </w:r>
      <w:r>
        <w:t>40 mm</w:t>
      </w:r>
      <w:r>
        <w:t>的竖向圆形通孔。长方体确定外轮廓，圆柱体确定孔的形状与大小，二者的位置关系确定孔位。上述数值仅为教学条件，不代表实际工程设计参数。</w:t>
      </w:r>
    </w:p>
    <w:p w14:paraId="79A0332A" w14:textId="77777777" w:rsidR="00B60E12" w:rsidRDefault="009E575D">
      <w:pPr>
        <w:pStyle w:val="4"/>
      </w:pPr>
      <w:r>
        <w:t xml:space="preserve">1.2.2 </w:t>
      </w:r>
      <w:r>
        <w:t>图样识读与绘制</w:t>
      </w:r>
    </w:p>
    <w:p w14:paraId="11D7DE4D" w14:textId="77777777" w:rsidR="00B60E12" w:rsidRDefault="009E575D">
      <w:pPr/>
      <w:r>
        <w:t>识读图样时，需要把各个视图中的线条、轮廓和尺寸联系起来，逐步形成空间形体的完整认识。对图</w:t>
      </w:r>
      <w:r>
        <w:t>1-2</w:t>
      </w:r>
      <w:r>
        <w:t>所示底座，主视图反映长与厚，俯视图反映长与宽，左视图反映宽与厚。相互对应的视图体现长对正、高平齐、宽相等的关系，不能把它们看成互不相关的几幅图。</w:t>
      </w:r>
    </w:p>
    <w:p w14:paraId="2177F62F" w14:textId="77777777" w:rsidR="00B60E12" w:rsidRDefault="009E575D">
      <w:pPr>
        <w:keepNext/>
        <w:spacing w:before="100" w:line="240" w:lineRule="auto"/>
        <w:ind w:firstLine="0" w:firstLineChars="0"/>
        <w:jc w:val="center"/>
      </w:pPr>
      <w:r>
        <w:rPr>
          <w:noProof/>
        </w:rPr>
        <w:lastRenderedPageBreak/>
        <w:drawing>
          <wp:inline distT="0" distB="0" distL="0" distR="0" wp14:anchorId="07FCD1AE" wp14:editId="0904C72C">
            <wp:extent cx="5220000" cy="2808442"/>
            <wp:effectExtent l="0" t="0" r="0" b="0"/>
            <wp:docPr id="2" name="Picture 2" descr="图1-2 带圆形通孔底座的三维示意与三个正投影视图" title="图1-2 带圆形通孔底座的三维示意与三个正投影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png"/>
                    <pic:cNvPicPr/>
                  </pic:nvPicPr>
                  <pic:blipFill>
                    <a:blip r:embed="rId9"/>
                    <a:stretch>
                      <a:fillRect/>
                    </a:stretch>
                  </pic:blipFill>
                  <pic:spPr>
                    <a:xfrm>
                      <a:off x="0" y="0"/>
                      <a:ext cx="5220000" cy="2808442"/>
                    </a:xfrm>
                    <a:prstGeom prst="rect">
                      <a:avLst/>
                    </a:prstGeom>
                  </pic:spPr>
                </pic:pic>
              </a:graphicData>
            </a:graphic>
          </wp:inline>
        </w:drawing>
      </w:r>
    </w:p>
    <w:p w14:paraId="122C241F" w14:textId="77777777" w:rsidR="00B60E12" w:rsidRDefault="009E575D">
      <w:pPr>
        <w:pStyle w:val="af7"/>
        <w:keepNext/>
      </w:pPr>
      <w:r>
        <w:t>图</w:t>
      </w:r>
      <w:r>
        <w:t xml:space="preserve">1-2 </w:t>
      </w:r>
      <w:r>
        <w:t>带圆形通孔底座的三维示意与三个正投影视图</w:t>
      </w:r>
    </w:p>
    <w:p w14:paraId="427271D5" w14:textId="77777777" w:rsidR="00B60E12" w:rsidRDefault="009E575D">
      <w:pPr>
        <w:pStyle w:val="Figurenote"/>
      </w:pPr>
      <w:r>
        <w:t>图为教学示意，虚线提示不可见孔壁，中心线提示孔轴位置；正式图样还需完成尺寸标注及有关技术说明。</w:t>
      </w:r>
    </w:p>
    <w:p w14:paraId="3B85D78A" w14:textId="77777777" w:rsidR="00B60E12" w:rsidRDefault="009E575D">
      <w:pPr/>
      <w:r>
        <w:t>单独看到俯视图中的一个圆，还不足以判断它表示通孔、盲孔或其他结构。应结合其余视图、剖视表达和尺寸说明确定含义。读图的过程包含观察、分析与综合，既要看见图上的线，也要想清楚线所表达的面和体。</w:t>
      </w:r>
    </w:p>
    <w:p w14:paraId="18AA96D6" w14:textId="77777777" w:rsidR="00B60E12" w:rsidRDefault="009E575D">
      <w:pPr/>
      <w:r>
        <w:t>绘制图样则从形体出发，确定表达方案，选择视图与必要的剖视、断面等表达方法，画出图形，再补充尺寸和说明。初学阶段可从简单形体开始，先做到投影关系正确、表达清楚，再逐步学习专业图样的完整要求。读图和绘图应结合训练，通过相互验证加深对空间形体的理解。</w:t>
      </w:r>
      <w:r>
        <w:rPr>
          <w:sz w:val="15"/>
          <w:vertAlign w:val="superscript"/>
        </w:rPr>
        <w:t>[1][2]</w:t>
      </w:r>
    </w:p>
    <w:p w14:paraId="63695114" w14:textId="77777777" w:rsidR="00B60E12" w:rsidRDefault="009E575D">
      <w:pPr>
        <w:pStyle w:val="Resource"/>
      </w:pPr>
      <w:r>
        <w:t>配套资源</w:t>
      </w:r>
      <w:r>
        <w:t xml:space="preserve"> R1-02</w:t>
      </w:r>
      <w:r>
        <w:t xml:space="preserve">　三视图对应</w:t>
      </w:r>
    </w:p>
    <w:p w14:paraId="5A585517" w14:textId="77777777" w:rsidR="00B60E12" w:rsidRDefault="009E575D">
      <w:pPr>
        <w:pStyle w:val="4"/>
      </w:pPr>
      <w:r>
        <w:t xml:space="preserve">1.2.3 </w:t>
      </w:r>
      <w:r>
        <w:t>三维模型构建</w:t>
      </w:r>
    </w:p>
    <w:p w14:paraId="09C5319E" w14:textId="77777777" w:rsidR="00B60E12" w:rsidRDefault="009E575D">
      <w:pPr/>
      <w:r>
        <w:t>三维建模首先需要分析形体的构成和尺寸条件，再选择合适的构建方法。对于图</w:t>
      </w:r>
      <w:r>
        <w:t>1-2</w:t>
      </w:r>
      <w:r>
        <w:t>的底座，可以先绘制</w:t>
      </w:r>
      <w:r>
        <w:t>200 mm×120 mm</w:t>
      </w:r>
      <w:r>
        <w:t>的矩形，拉伸</w:t>
      </w:r>
      <w:r>
        <w:t>40 mm</w:t>
      </w:r>
      <w:r>
        <w:t>形成实体，再在顶面定位中心圆，并作贯穿切除。也可以采用其他合理顺序，但应得到符合相同尺寸和位置条件的形体。</w:t>
      </w:r>
    </w:p>
    <w:p w14:paraId="6D0D4134" w14:textId="77777777" w:rsidR="00B60E12" w:rsidRDefault="009E575D">
      <w:pPr/>
      <w:r>
        <w:t>建模过程中，应理解每一步操作生成了什么几何对象，以及它与已有形体的关系。完成后转动模型、观察不同方向，并通过剖切了解内部结构。仅凭某个角度的外观相似，尚不能确认孔深、壁厚和连接关系等内容正确。</w:t>
      </w:r>
    </w:p>
    <w:p w14:paraId="308B5AAF" w14:textId="77777777" w:rsidR="00B60E12" w:rsidRDefault="009E575D">
      <w:pPr/>
      <w:r>
        <w:t>随着学习深入，建模能力还包括根据需要设置参数与约束、表达构件或零件之间的关系，以及在条件改变时合理修改模型。软件命令服务于这些表达任务，掌握操作应与理解形体同步进行。</w:t>
      </w:r>
    </w:p>
    <w:p w14:paraId="6D22A98A" w14:textId="77777777" w:rsidR="00B60E12" w:rsidRDefault="009E575D">
      <w:pPr>
        <w:pStyle w:val="Resource"/>
      </w:pPr>
      <w:r>
        <w:t>配套资源</w:t>
      </w:r>
      <w:r>
        <w:t xml:space="preserve"> R1-03</w:t>
      </w:r>
      <w:r>
        <w:t xml:space="preserve">　拉伸与切孔</w:t>
      </w:r>
    </w:p>
    <w:p w14:paraId="65CEF549" w14:textId="77777777" w:rsidR="00B60E12" w:rsidRDefault="009E575D">
      <w:pPr>
        <w:pStyle w:val="4"/>
      </w:pPr>
      <w:r>
        <w:lastRenderedPageBreak/>
        <w:t xml:space="preserve">1.2.4 </w:t>
      </w:r>
      <w:r>
        <w:t>模型与图纸的双向转换</w:t>
      </w:r>
    </w:p>
    <w:p w14:paraId="4FA4EFEC" w14:textId="77777777" w:rsidR="00B60E12" w:rsidRDefault="009E575D">
      <w:pPr/>
      <w:r>
        <w:t>从模型到图纸，是根据模型选择观察方向、投影方式和剖切位置，生成视图并完成尺寸、符号和文字说明。从图纸到模型，则是根据投影关系和标注条件想象空间结构，再用建模方法将其表达出来。两者共同体现空间形体与平面表达之间的转换。</w:t>
      </w:r>
      <w:r>
        <w:rPr>
          <w:sz w:val="15"/>
          <w:vertAlign w:val="superscript"/>
        </w:rPr>
        <w:t>[5][6]</w:t>
      </w:r>
    </w:p>
    <w:p w14:paraId="05951AFD" w14:textId="77777777" w:rsidR="00B60E12" w:rsidRDefault="009E575D">
      <w:pPr/>
      <w:r>
        <w:t>这种双向转换需要充分的几何条件和专业判断。软件生成的视图仍需选择和整理；缺少尺寸或视图的图样，可能对应不止一种空间形体。学习时应比较图样与模型中的轮廓、孔位和主要尺寸，发现差异后回到原始条件分析原因。</w:t>
      </w:r>
    </w:p>
    <w:p w14:paraId="4438FEC0" w14:textId="77777777" w:rsidR="00B60E12" w:rsidRDefault="009E575D">
      <w:pPr/>
      <w:r>
        <w:t>表</w:t>
      </w:r>
      <w:r>
        <w:t>1-1</w:t>
      </w:r>
      <w:r>
        <w:t>归纳了四项能力在简单构件学习中的具体表现。</w:t>
      </w:r>
    </w:p>
    <w:p w14:paraId="5991F759" w14:textId="77777777" w:rsidR="00B60E12" w:rsidRDefault="009E575D">
      <w:pPr>
        <w:pStyle w:val="af7"/>
        <w:keepNext/>
      </w:pPr>
      <w:r>
        <w:t>表</w:t>
      </w:r>
      <w:r>
        <w:t xml:space="preserve">1-1 </w:t>
      </w:r>
      <w:r>
        <w:t>课程能力与基本训练内容</w:t>
      </w:r>
    </w:p>
    <w:tbl>
      <w:tblPr>
        <w:tblW w:w="0" w:type="auto"/>
        <w:jc w:val="center"/>
        <w:tblLayout w:type="fixed"/>
        <w:tblCellMar>
          <w:top w:w="55" w:type="dxa"/>
          <w:left w:w="75" w:type="dxa"/>
          <w:bottom w:w="55" w:type="dxa"/>
          <w:right w:w="75" w:type="dxa"/>
        </w:tblCellMar>
        <w:tblLook w:val="04A0" w:firstRow="1" w:lastRow="0" w:firstColumn="1" w:lastColumn="0" w:noHBand="0" w:noVBand="1"/>
      </w:tblPr>
      <w:tblGrid>
        <w:gridCol w:w="1701"/>
        <w:gridCol w:w="3515"/>
        <w:gridCol w:w="3005"/>
      </w:tblGrid>
      <w:tr w:rsidR="00B60E12" w14:paraId="3D17E26D" w14:textId="77777777">
        <w:trPr>
          <w:cantSplit/>
          <w:tblHeader/>
          <w:jc w:val="center"/>
        </w:trPr>
        <w:tc>
          <w:tcPr>
            <w:tcW w:w="1701"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4FCAE4E0"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能力</w:t>
            </w:r>
          </w:p>
        </w:tc>
        <w:tc>
          <w:tcPr>
            <w:tcW w:w="351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35BB5385"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基本训练</w:t>
            </w:r>
          </w:p>
        </w:tc>
        <w:tc>
          <w:tcPr>
            <w:tcW w:w="3005"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6E7FEF9A"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学习要求</w:t>
            </w:r>
          </w:p>
        </w:tc>
      </w:tr>
      <w:tr w:rsidR="00B60E12" w14:paraId="05034E7B"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vAlign w:val="center"/>
          </w:tcPr>
          <w:p w14:paraId="5856569F" w14:textId="77777777" w:rsidR="00B60E12" w:rsidRDefault="009E575D">
            <w:pPr>
              <w:spacing w:before="20" w:after="20" w:line="280" w:lineRule="exact"/>
              <w:ind w:firstLine="0" w:firstLineChars="0"/>
              <w:jc w:val="left"/>
            </w:pPr>
            <w:r>
              <w:rPr>
                <w:sz w:val="19"/>
                <w:rFonts w:ascii="Times New Roman" w:hAnsi="Times New Roman" w:cs="Times New Roman" w:eastAsia="宋体"/>
              </w:rPr>
              <w:t>空间形体分析</w:t>
            </w:r>
          </w:p>
        </w:tc>
        <w:tc>
          <w:tcPr>
            <w:tcW w:w="3515" w:type="dxa"/>
            <w:tcBorders>
              <w:top w:val="single" w:sz="4" w:space="0" w:color="D9D9D9"/>
              <w:left w:val="single" w:sz="4" w:space="0" w:color="D9D9D9"/>
              <w:bottom w:val="single" w:sz="4" w:space="0" w:color="D9D9D9"/>
              <w:right w:val="single" w:sz="4" w:space="0" w:color="D9D9D9"/>
            </w:tcBorders>
            <w:vAlign w:val="center"/>
          </w:tcPr>
          <w:p w14:paraId="0346089A" w14:textId="77777777" w:rsidR="00B60E12" w:rsidRDefault="009E575D">
            <w:pPr>
              <w:spacing w:before="20" w:after="20" w:line="280" w:lineRule="exact"/>
              <w:ind w:firstLine="0" w:firstLineChars="0"/>
              <w:jc w:val="left"/>
            </w:pPr>
            <w:r>
              <w:rPr>
                <w:sz w:val="19"/>
                <w:rFonts w:ascii="Times New Roman" w:hAnsi="Times New Roman" w:cs="Times New Roman" w:eastAsia="宋体"/>
              </w:rPr>
              <w:t>观察实物或模型，绘制形体分解草图</w:t>
            </w:r>
          </w:p>
        </w:tc>
        <w:tc>
          <w:tcPr>
            <w:tcW w:w="3005" w:type="dxa"/>
            <w:tcBorders>
              <w:top w:val="single" w:sz="4" w:space="0" w:color="D9D9D9"/>
              <w:left w:val="single" w:sz="4" w:space="0" w:color="D9D9D9"/>
              <w:bottom w:val="single" w:sz="4" w:space="0" w:color="D9D9D9"/>
              <w:right w:val="single" w:sz="4" w:space="0" w:color="D9D9D9"/>
            </w:tcBorders>
            <w:vAlign w:val="center"/>
          </w:tcPr>
          <w:p w14:paraId="30C4B292" w14:textId="77777777" w:rsidR="00B60E12" w:rsidRDefault="009E575D">
            <w:pPr>
              <w:spacing w:before="20" w:after="20" w:line="280" w:lineRule="exact"/>
              <w:ind w:firstLine="0" w:firstLineChars="0"/>
              <w:jc w:val="left"/>
            </w:pPr>
            <w:r>
              <w:rPr>
                <w:sz w:val="19"/>
                <w:rFonts w:ascii="Times New Roman" w:hAnsi="Times New Roman" w:cs="Times New Roman" w:eastAsia="宋体"/>
              </w:rPr>
              <w:t>识别基本形体、孔槽及组合关系</w:t>
            </w:r>
          </w:p>
        </w:tc>
      </w:tr>
      <w:tr w:rsidR="00B60E12" w14:paraId="70FBB42D"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vAlign w:val="center"/>
          </w:tcPr>
          <w:p w14:paraId="6AE67B14" w14:textId="77777777" w:rsidR="00B60E12" w:rsidRDefault="009E575D">
            <w:pPr>
              <w:spacing w:before="20" w:after="20" w:line="280" w:lineRule="exact"/>
              <w:ind w:firstLine="0" w:firstLineChars="0"/>
              <w:jc w:val="left"/>
            </w:pPr>
            <w:r>
              <w:rPr>
                <w:sz w:val="19"/>
                <w:rFonts w:ascii="Times New Roman" w:hAnsi="Times New Roman" w:cs="Times New Roman" w:eastAsia="宋体"/>
              </w:rPr>
              <w:t>图样识绘</w:t>
            </w:r>
          </w:p>
        </w:tc>
        <w:tc>
          <w:tcPr>
            <w:tcW w:w="3515" w:type="dxa"/>
            <w:tcBorders>
              <w:top w:val="single" w:sz="4" w:space="0" w:color="D9D9D9"/>
              <w:left w:val="single" w:sz="4" w:space="0" w:color="D9D9D9"/>
              <w:bottom w:val="single" w:sz="4" w:space="0" w:color="D9D9D9"/>
              <w:right w:val="single" w:sz="4" w:space="0" w:color="D9D9D9"/>
            </w:tcBorders>
            <w:vAlign w:val="center"/>
          </w:tcPr>
          <w:p w14:paraId="270CA986" w14:textId="77777777" w:rsidR="00B60E12" w:rsidRDefault="009E575D">
            <w:pPr>
              <w:spacing w:before="20" w:after="20" w:line="280" w:lineRule="exact"/>
              <w:ind w:firstLine="0" w:firstLineChars="0"/>
              <w:jc w:val="left"/>
            </w:pPr>
            <w:r>
              <w:rPr>
                <w:sz w:val="19"/>
                <w:rFonts w:ascii="Times New Roman" w:hAnsi="Times New Roman" w:cs="Times New Roman" w:eastAsia="宋体"/>
              </w:rPr>
              <w:t>读懂视图，选择表达方法并绘图</w:t>
            </w:r>
          </w:p>
        </w:tc>
        <w:tc>
          <w:tcPr>
            <w:tcW w:w="3005" w:type="dxa"/>
            <w:tcBorders>
              <w:top w:val="single" w:sz="4" w:space="0" w:color="D9D9D9"/>
              <w:left w:val="single" w:sz="4" w:space="0" w:color="D9D9D9"/>
              <w:bottom w:val="single" w:sz="4" w:space="0" w:color="D9D9D9"/>
              <w:right w:val="single" w:sz="4" w:space="0" w:color="D9D9D9"/>
            </w:tcBorders>
            <w:vAlign w:val="center"/>
          </w:tcPr>
          <w:p w14:paraId="2BD04BE1" w14:textId="77777777" w:rsidR="00B60E12" w:rsidRDefault="009E575D">
            <w:pPr>
              <w:spacing w:before="20" w:after="20" w:line="280" w:lineRule="exact"/>
              <w:ind w:firstLine="0" w:firstLineChars="0"/>
              <w:jc w:val="left"/>
            </w:pPr>
            <w:r>
              <w:rPr>
                <w:sz w:val="19"/>
                <w:rFonts w:ascii="Times New Roman" w:hAnsi="Times New Roman" w:cs="Times New Roman" w:eastAsia="宋体"/>
              </w:rPr>
              <w:t>理解投影对应关系，做到图形与尺寸一致</w:t>
            </w:r>
          </w:p>
        </w:tc>
      </w:tr>
      <w:tr w:rsidR="00B60E12" w14:paraId="097CCB93"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vAlign w:val="center"/>
          </w:tcPr>
          <w:p w14:paraId="033C2075" w14:textId="77777777" w:rsidR="00B60E12" w:rsidRDefault="009E575D">
            <w:pPr>
              <w:spacing w:before="20" w:after="20" w:line="280" w:lineRule="exact"/>
              <w:ind w:firstLine="0" w:firstLineChars="0"/>
              <w:jc w:val="left"/>
            </w:pPr>
            <w:r>
              <w:rPr>
                <w:sz w:val="19"/>
                <w:rFonts w:ascii="Times New Roman" w:hAnsi="Times New Roman" w:cs="Times New Roman" w:eastAsia="宋体"/>
              </w:rPr>
              <w:t>三维建模</w:t>
            </w:r>
          </w:p>
        </w:tc>
        <w:tc>
          <w:tcPr>
            <w:tcW w:w="3515" w:type="dxa"/>
            <w:tcBorders>
              <w:top w:val="single" w:sz="4" w:space="0" w:color="D9D9D9"/>
              <w:left w:val="single" w:sz="4" w:space="0" w:color="D9D9D9"/>
              <w:bottom w:val="single" w:sz="4" w:space="0" w:color="D9D9D9"/>
              <w:right w:val="single" w:sz="4" w:space="0" w:color="D9D9D9"/>
            </w:tcBorders>
            <w:vAlign w:val="center"/>
          </w:tcPr>
          <w:p w14:paraId="34B5D097" w14:textId="77777777" w:rsidR="00B60E12" w:rsidRDefault="009E575D">
            <w:pPr>
              <w:spacing w:before="20" w:after="20" w:line="280" w:lineRule="exact"/>
              <w:ind w:firstLine="0" w:firstLineChars="0"/>
              <w:jc w:val="left"/>
            </w:pPr>
            <w:r>
              <w:rPr>
                <w:sz w:val="19"/>
                <w:rFonts w:ascii="Times New Roman" w:hAnsi="Times New Roman" w:cs="Times New Roman" w:eastAsia="宋体"/>
              </w:rPr>
              <w:t>依据尺寸条件建立简单模型</w:t>
            </w:r>
          </w:p>
        </w:tc>
        <w:tc>
          <w:tcPr>
            <w:tcW w:w="3005" w:type="dxa"/>
            <w:tcBorders>
              <w:top w:val="single" w:sz="4" w:space="0" w:color="D9D9D9"/>
              <w:left w:val="single" w:sz="4" w:space="0" w:color="D9D9D9"/>
              <w:bottom w:val="single" w:sz="4" w:space="0" w:color="D9D9D9"/>
              <w:right w:val="single" w:sz="4" w:space="0" w:color="D9D9D9"/>
            </w:tcBorders>
            <w:vAlign w:val="center"/>
          </w:tcPr>
          <w:p w14:paraId="3E101184" w14:textId="77777777" w:rsidR="00B60E12" w:rsidRDefault="009E575D">
            <w:pPr>
              <w:spacing w:before="20" w:after="20" w:line="280" w:lineRule="exact"/>
              <w:ind w:firstLine="0" w:firstLineChars="0"/>
              <w:jc w:val="left"/>
            </w:pPr>
            <w:r>
              <w:rPr>
                <w:sz w:val="19"/>
                <w:rFonts w:ascii="Times New Roman" w:hAnsi="Times New Roman" w:cs="Times New Roman" w:eastAsia="宋体"/>
              </w:rPr>
              <w:t>说明构建方法，正确表达形状与位置</w:t>
            </w:r>
          </w:p>
        </w:tc>
      </w:tr>
      <w:tr w:rsidR="00B60E12" w14:paraId="4048A290" w14:textId="77777777">
        <w:trPr>
          <w:cantSplit/>
          <w:jc w:val="center"/>
        </w:trPr>
        <w:tc>
          <w:tcPr>
            <w:tcW w:w="1701" w:type="dxa"/>
            <w:tcBorders>
              <w:top w:val="single" w:sz="4" w:space="0" w:color="D9D9D9"/>
              <w:left w:val="single" w:sz="4" w:space="0" w:color="D9D9D9"/>
              <w:bottom w:val="single" w:sz="4" w:space="0" w:color="D9D9D9"/>
              <w:right w:val="single" w:sz="4" w:space="0" w:color="D9D9D9"/>
            </w:tcBorders>
            <w:vAlign w:val="center"/>
          </w:tcPr>
          <w:p w14:paraId="139A78FB" w14:textId="77777777" w:rsidR="00B60E12" w:rsidRDefault="009E575D">
            <w:pPr>
              <w:spacing w:before="20" w:after="20" w:line="280" w:lineRule="exact"/>
              <w:ind w:firstLine="0" w:firstLineChars="0"/>
              <w:jc w:val="left"/>
            </w:pPr>
            <w:r>
              <w:rPr>
                <w:sz w:val="19"/>
                <w:rFonts w:ascii="Times New Roman" w:hAnsi="Times New Roman" w:cs="Times New Roman" w:eastAsia="宋体"/>
              </w:rPr>
              <w:t>模型与图纸双向转换</w:t>
            </w:r>
          </w:p>
        </w:tc>
        <w:tc>
          <w:tcPr>
            <w:tcW w:w="3515" w:type="dxa"/>
            <w:tcBorders>
              <w:top w:val="single" w:sz="4" w:space="0" w:color="D9D9D9"/>
              <w:left w:val="single" w:sz="4" w:space="0" w:color="D9D9D9"/>
              <w:bottom w:val="single" w:sz="4" w:space="0" w:color="D9D9D9"/>
              <w:right w:val="single" w:sz="4" w:space="0" w:color="D9D9D9"/>
            </w:tcBorders>
            <w:vAlign w:val="center"/>
          </w:tcPr>
          <w:p w14:paraId="281FFFF7" w14:textId="77777777" w:rsidR="00B60E12" w:rsidRDefault="009E575D">
            <w:pPr>
              <w:spacing w:before="20" w:after="20" w:line="280" w:lineRule="exact"/>
              <w:ind w:firstLine="0" w:firstLineChars="0"/>
              <w:jc w:val="left"/>
            </w:pPr>
            <w:r>
              <w:rPr>
                <w:sz w:val="19"/>
                <w:rFonts w:ascii="Times New Roman" w:hAnsi="Times New Roman" w:cs="Times New Roman" w:eastAsia="宋体"/>
              </w:rPr>
              <w:t>由模型形成视图，由图样重建形体</w:t>
            </w:r>
          </w:p>
        </w:tc>
        <w:tc>
          <w:tcPr>
            <w:tcW w:w="3005" w:type="dxa"/>
            <w:tcBorders>
              <w:top w:val="single" w:sz="4" w:space="0" w:color="D9D9D9"/>
              <w:left w:val="single" w:sz="4" w:space="0" w:color="D9D9D9"/>
              <w:bottom w:val="single" w:sz="4" w:space="0" w:color="D9D9D9"/>
              <w:right w:val="single" w:sz="4" w:space="0" w:color="D9D9D9"/>
            </w:tcBorders>
            <w:vAlign w:val="center"/>
          </w:tcPr>
          <w:p w14:paraId="6EAB64D8" w14:textId="77777777" w:rsidR="00B60E12" w:rsidRDefault="009E575D">
            <w:pPr>
              <w:spacing w:before="20" w:after="20" w:line="280" w:lineRule="exact"/>
              <w:ind w:firstLine="0" w:firstLineChars="0"/>
              <w:jc w:val="left"/>
            </w:pPr>
            <w:r>
              <w:rPr>
                <w:sz w:val="19"/>
                <w:rFonts w:ascii="Times New Roman" w:hAnsi="Times New Roman" w:cs="Times New Roman" w:eastAsia="宋体"/>
              </w:rPr>
              <w:t>联系二维与三维，核对模型与图样</w:t>
            </w:r>
          </w:p>
        </w:tc>
      </w:tr>
    </w:tbl>
    <w:p w14:paraId="3D913DF6" w14:textId="77777777" w:rsidR="00B60E12" w:rsidRDefault="00B60E12">
      <w:pPr>
        <w:spacing w:line="80" w:lineRule="exact"/>
      </w:pPr>
    </w:p>
    <w:p w14:paraId="0802E36F" w14:textId="77777777" w:rsidR="00B60E12" w:rsidRDefault="009E575D">
      <w:pPr>
        <w:pStyle w:val="4"/>
      </w:pPr>
      <w:r>
        <w:t xml:space="preserve">1.2.5 </w:t>
      </w:r>
      <w:r>
        <w:t>本课程的学习方法</w:t>
      </w:r>
    </w:p>
    <w:p w14:paraId="71DBBD5D" w14:textId="77777777" w:rsidR="00B60E12" w:rsidRDefault="009E575D">
      <w:pPr/>
      <w:r>
        <w:t>学习投影理论时，应把推理与观察结合起来。可先对照实物或模型分析视图，再逐步减少对实物的依赖，根据图样想象形体；也可先在头脑中构思形体，再画草图或建立模型检验。这种</w:t>
      </w:r>
      <w:r>
        <w:t>“</w:t>
      </w:r>
      <w:r>
        <w:t>由物画图</w:t>
      </w:r>
      <w:r>
        <w:t>”</w:t>
      </w:r>
      <w:r>
        <w:t>和</w:t>
      </w:r>
      <w:r>
        <w:t>“</w:t>
      </w:r>
      <w:r>
        <w:t>由图想物</w:t>
      </w:r>
      <w:r>
        <w:t>”</w:t>
      </w:r>
      <w:r>
        <w:t>的交替练习，是发展空间想象能力的重要途径。</w:t>
      </w:r>
      <w:r>
        <w:rPr>
          <w:sz w:val="15"/>
          <w:vertAlign w:val="superscript"/>
        </w:rPr>
        <w:t>[3][2]</w:t>
      </w:r>
    </w:p>
    <w:p w14:paraId="15FC80CA" w14:textId="77777777" w:rsidR="00B60E12" w:rsidRDefault="009E575D">
      <w:pPr/>
      <w:r>
        <w:t>学习绘图和建模时，应亲自完成必要练习。观察一个法兰，先画草图并分析其回转结构与孔，再建立模型，最后比较模型生成的视图与原先的判断。遇到错误时，应弄清是形体理解、投影关系、尺寸条件还是操作方法出现了问题。通过分析和修正形成经验，比单纯重复操作更有助于掌握方法。</w:t>
      </w:r>
    </w:p>
    <w:p w14:paraId="12E57D5B" w14:textId="77777777" w:rsidR="00B60E12" w:rsidRDefault="009E575D">
      <w:pPr/>
      <w:r>
        <w:t>学习专业图样时，应联系对象的用途和构造。了解柱与梁怎样连接、闸墩与水流方向有什么关系，有助于理解图样中各部分的含义。本课程提供表达与识读的基础，完整的专业设计能力还需要在后续课程和工程实践中继续形成。</w:t>
      </w:r>
    </w:p>
    <w:p w14:paraId="0906D9D6" w14:textId="77777777" w:rsidR="00B60E12" w:rsidRDefault="009E575D">
      <w:pPr>
        <w:pStyle w:val="31"/>
      </w:pPr>
      <w:r>
        <w:t xml:space="preserve">1.3 </w:t>
      </w:r>
      <w:r>
        <w:t>工程制图标准体系简介</w:t>
      </w:r>
    </w:p>
    <w:p w14:paraId="66DFAF0C" w14:textId="77777777" w:rsidR="00B60E12" w:rsidRDefault="009E575D">
      <w:pPr>
        <w:pStyle w:val="4"/>
      </w:pPr>
      <w:r>
        <w:t xml:space="preserve">1.3.1 </w:t>
      </w:r>
      <w:r>
        <w:t>制图标准的作用</w:t>
      </w:r>
    </w:p>
    <w:p w14:paraId="2E4B4410" w14:textId="77777777" w:rsidR="00B60E12" w:rsidRDefault="009E575D">
      <w:pPr/>
      <w:r>
        <w:t>工程图样需要在不同人员和不同单位之间传递。若对同一种图线、比例或符号采用不同解释，就会影响设计意图的准确理解。制图标准对图纸幅面、字体、图线、比例、投影</w:t>
      </w:r>
      <w:r>
        <w:lastRenderedPageBreak/>
        <w:t>表达和尺寸标注等作出规定，为工程交流提供共同规则。学习标准应贯穿绘图、读图和模型出图的全过程。</w:t>
      </w:r>
    </w:p>
    <w:p w14:paraId="187EF873" w14:textId="77777777" w:rsidR="00B60E12" w:rsidRDefault="009E575D">
      <w:pPr/>
      <w:r>
        <w:t>国家标准与行业标准共同构成工程表达的重要依据。标准号中的</w:t>
      </w:r>
      <w:r>
        <w:t>GB/T</w:t>
      </w:r>
      <w:r>
        <w:t>表示推荐性国家标准；</w:t>
      </w:r>
      <w:r>
        <w:t>SL/T</w:t>
      </w:r>
      <w:r>
        <w:t>、</w:t>
      </w:r>
      <w:r>
        <w:t>DL/T</w:t>
      </w:r>
      <w:r>
        <w:t>和</w:t>
      </w:r>
      <w:r>
        <w:t>NB/T</w:t>
      </w:r>
      <w:r>
        <w:t>分别涉及水利、电力和能源领域的推荐性行业标准。选用时还应了解标准名称、适用范围和版本，结合表达对象判断。表</w:t>
      </w:r>
      <w:r>
        <w:t>1-2</w:t>
      </w:r>
      <w:r>
        <w:t>给出入门阶段可以查阅的代表性标准，具体规定在后续章节中结合实例学习。</w:t>
      </w:r>
    </w:p>
    <w:p w14:paraId="5A0E1710" w14:textId="77777777" w:rsidR="00B60E12" w:rsidRDefault="009E575D">
      <w:pPr>
        <w:pStyle w:val="af7"/>
        <w:keepNext/>
      </w:pPr>
      <w:r>
        <w:t>表</w:t>
      </w:r>
      <w:r>
        <w:t xml:space="preserve">1-2 </w:t>
      </w:r>
      <w:r>
        <w:t>工程图样与信息模型的代表性标准</w:t>
      </w:r>
    </w:p>
    <w:tbl>
      <w:tblPr>
        <w:tblW w:w="0" w:type="auto"/>
        <w:jc w:val="center"/>
        <w:tblLayout w:type="fixed"/>
        <w:tblCellMar>
          <w:top w:w="55" w:type="dxa"/>
          <w:left w:w="75" w:type="dxa"/>
          <w:bottom w:w="55" w:type="dxa"/>
          <w:right w:w="75" w:type="dxa"/>
        </w:tblCellMar>
        <w:tblLook w:val="04A0" w:firstRow="1" w:lastRow="0" w:firstColumn="1" w:lastColumn="0" w:noHBand="0" w:noVBand="1"/>
      </w:tblPr>
      <w:tblGrid>
        <w:gridCol w:w="1587"/>
        <w:gridCol w:w="4706"/>
        <w:gridCol w:w="1928"/>
      </w:tblGrid>
      <w:tr w:rsidR="00B60E12" w14:paraId="61E4E4B2" w14:textId="77777777">
        <w:trPr>
          <w:cantSplit/>
          <w:tblHeader/>
          <w:jc w:val="center"/>
        </w:trPr>
        <w:tc>
          <w:tcPr>
            <w:tcW w:w="1587"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69979EFF"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对象与用途</w:t>
            </w:r>
          </w:p>
        </w:tc>
        <w:tc>
          <w:tcPr>
            <w:tcW w:w="4706"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78BB82D6"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代表性标准</w:t>
            </w:r>
          </w:p>
        </w:tc>
        <w:tc>
          <w:tcPr>
            <w:tcW w:w="1928"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4C9742A7"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主要内容</w:t>
            </w:r>
          </w:p>
        </w:tc>
      </w:tr>
      <w:tr w:rsidR="00B60E12" w14:paraId="66C76B03" w14:textId="77777777">
        <w:trPr>
          <w:cantSplit/>
          <w:jc w:val="center"/>
        </w:trPr>
        <w:tc>
          <w:tcPr>
            <w:tcW w:w="1587" w:type="dxa"/>
            <w:tcBorders>
              <w:top w:val="single" w:sz="4" w:space="0" w:color="D9D9D9"/>
              <w:left w:val="single" w:sz="4" w:space="0" w:color="D9D9D9"/>
              <w:bottom w:val="single" w:sz="4" w:space="0" w:color="D9D9D9"/>
              <w:right w:val="single" w:sz="4" w:space="0" w:color="D9D9D9"/>
            </w:tcBorders>
            <w:vAlign w:val="center"/>
          </w:tcPr>
          <w:p w14:paraId="25266D50" w14:textId="77777777" w:rsidR="00B60E12" w:rsidRDefault="009E575D">
            <w:pPr>
              <w:spacing w:before="20" w:after="20" w:line="280" w:lineRule="exact"/>
              <w:ind w:firstLine="0" w:firstLineChars="0"/>
              <w:jc w:val="left"/>
            </w:pPr>
            <w:r>
              <w:rPr>
                <w:sz w:val="19"/>
                <w:rFonts w:ascii="Times New Roman" w:hAnsi="Times New Roman" w:cs="Times New Roman" w:eastAsia="宋体"/>
              </w:rPr>
              <w:t>机械图样</w:t>
            </w:r>
          </w:p>
        </w:tc>
        <w:tc>
          <w:tcPr>
            <w:tcW w:w="4706" w:type="dxa"/>
            <w:tcBorders>
              <w:top w:val="single" w:sz="4" w:space="0" w:color="D9D9D9"/>
              <w:left w:val="single" w:sz="4" w:space="0" w:color="D9D9D9"/>
              <w:bottom w:val="single" w:sz="4" w:space="0" w:color="D9D9D9"/>
              <w:right w:val="single" w:sz="4" w:space="0" w:color="D9D9D9"/>
            </w:tcBorders>
            <w:vAlign w:val="center"/>
          </w:tcPr>
          <w:p w14:paraId="4E3C5813" w14:textId="77777777" w:rsidR="00B60E12" w:rsidRDefault="009E575D">
            <w:pPr>
              <w:spacing w:before="20" w:after="20" w:line="280" w:lineRule="exact"/>
              <w:ind w:firstLine="0" w:firstLineChars="0"/>
              <w:jc w:val="left"/>
            </w:pPr>
            <w:r>
              <w:rPr>
                <w:sz w:val="19"/>
                <w:rFonts w:ascii="Times New Roman" w:hAnsi="Times New Roman" w:cs="Times New Roman" w:eastAsia="宋体"/>
              </w:rPr>
              <w:t>GB/T 4457.4—2002</w:t>
            </w:r>
            <w:r>
              <w:rPr>
                <w:sz w:val="19"/>
                <w:rFonts w:ascii="Times New Roman" w:hAnsi="Times New Roman" w:cs="Times New Roman" w:eastAsia="宋体"/>
              </w:rPr>
              <w:t>《机械制图</w:t>
            </w:r>
            <w:r>
              <w:rPr>
                <w:sz w:val="19"/>
                <w:rFonts w:ascii="Times New Roman" w:hAnsi="Times New Roman" w:cs="Times New Roman" w:eastAsia="宋体"/>
              </w:rPr>
              <w:t xml:space="preserve"> </w:t>
            </w:r>
            <w:r>
              <w:rPr>
                <w:sz w:val="19"/>
                <w:rFonts w:ascii="Times New Roman" w:hAnsi="Times New Roman" w:cs="Times New Roman" w:eastAsia="宋体"/>
              </w:rPr>
              <w:t>图样画法</w:t>
            </w:r>
            <w:r>
              <w:rPr>
                <w:sz w:val="19"/>
                <w:rFonts w:ascii="Times New Roman" w:hAnsi="Times New Roman" w:cs="Times New Roman" w:eastAsia="宋体"/>
              </w:rPr>
              <w:t xml:space="preserve"> </w:t>
            </w:r>
            <w:r>
              <w:rPr>
                <w:sz w:val="19"/>
                <w:rFonts w:ascii="Times New Roman" w:hAnsi="Times New Roman" w:cs="Times New Roman" w:eastAsia="宋体"/>
              </w:rPr>
              <w:t>图线》；</w:t>
            </w:r>
            <w:r>
              <w:rPr>
                <w:sz w:val="19"/>
                <w:rFonts w:ascii="Times New Roman" w:hAnsi="Times New Roman" w:cs="Times New Roman" w:eastAsia="宋体"/>
              </w:rPr>
              <w:t>GB/T 4458.1—2002</w:t>
            </w:r>
            <w:r>
              <w:rPr>
                <w:sz w:val="19"/>
                <w:rFonts w:ascii="Times New Roman" w:hAnsi="Times New Roman" w:cs="Times New Roman" w:eastAsia="宋体"/>
              </w:rPr>
              <w:t>《机械制图</w:t>
            </w:r>
            <w:r>
              <w:rPr>
                <w:sz w:val="19"/>
                <w:rFonts w:ascii="Times New Roman" w:hAnsi="Times New Roman" w:cs="Times New Roman" w:eastAsia="宋体"/>
              </w:rPr>
              <w:t xml:space="preserve"> </w:t>
            </w:r>
            <w:r>
              <w:rPr>
                <w:sz w:val="19"/>
                <w:rFonts w:ascii="Times New Roman" w:hAnsi="Times New Roman" w:cs="Times New Roman" w:eastAsia="宋体"/>
              </w:rPr>
              <w:t>图样画法</w:t>
            </w:r>
            <w:r>
              <w:rPr>
                <w:sz w:val="19"/>
                <w:rFonts w:ascii="Times New Roman" w:hAnsi="Times New Roman" w:cs="Times New Roman" w:eastAsia="宋体"/>
              </w:rPr>
              <w:t xml:space="preserve"> </w:t>
            </w:r>
            <w:r>
              <w:rPr>
                <w:sz w:val="19"/>
                <w:rFonts w:ascii="Times New Roman" w:hAnsi="Times New Roman" w:cs="Times New Roman" w:eastAsia="宋体"/>
              </w:rPr>
              <w:t>视图》</w:t>
            </w:r>
            <w:r>
              <w:rPr>
                <w:sz w:val="15"/>
                <w:vertAlign w:val="superscript"/>
                <w:rFonts w:ascii="Times New Roman" w:hAnsi="Times New Roman" w:cs="Times New Roman" w:eastAsia="宋体"/>
              </w:rPr>
              <w:t>[7][8]</w:t>
            </w:r>
          </w:p>
        </w:tc>
        <w:tc>
          <w:tcPr>
            <w:tcW w:w="1928" w:type="dxa"/>
            <w:tcBorders>
              <w:top w:val="single" w:sz="4" w:space="0" w:color="D9D9D9"/>
              <w:left w:val="single" w:sz="4" w:space="0" w:color="D9D9D9"/>
              <w:bottom w:val="single" w:sz="4" w:space="0" w:color="D9D9D9"/>
              <w:right w:val="single" w:sz="4" w:space="0" w:color="D9D9D9"/>
            </w:tcBorders>
            <w:vAlign w:val="center"/>
          </w:tcPr>
          <w:p w14:paraId="7C0BABB6" w14:textId="77777777" w:rsidR="00B60E12" w:rsidRDefault="009E575D">
            <w:pPr>
              <w:spacing w:before="20" w:after="20" w:line="280" w:lineRule="exact"/>
              <w:ind w:firstLine="0" w:firstLineChars="0"/>
              <w:jc w:val="left"/>
            </w:pPr>
            <w:r>
              <w:rPr>
                <w:sz w:val="19"/>
                <w:rFonts w:ascii="Times New Roman" w:hAnsi="Times New Roman" w:cs="Times New Roman" w:eastAsia="宋体"/>
              </w:rPr>
              <w:t>图线与视图表达，其他要求按相应分册查阅</w:t>
            </w:r>
          </w:p>
        </w:tc>
      </w:tr>
      <w:tr w:rsidR="00B60E12" w14:paraId="412E44E4" w14:textId="77777777">
        <w:trPr>
          <w:cantSplit/>
          <w:jc w:val="center"/>
        </w:trPr>
        <w:tc>
          <w:tcPr>
            <w:tcW w:w="1587" w:type="dxa"/>
            <w:tcBorders>
              <w:top w:val="single" w:sz="4" w:space="0" w:color="D9D9D9"/>
              <w:left w:val="single" w:sz="4" w:space="0" w:color="D9D9D9"/>
              <w:bottom w:val="single" w:sz="4" w:space="0" w:color="D9D9D9"/>
              <w:right w:val="single" w:sz="4" w:space="0" w:color="D9D9D9"/>
            </w:tcBorders>
            <w:vAlign w:val="center"/>
          </w:tcPr>
          <w:p w14:paraId="0B6142B6" w14:textId="77777777" w:rsidR="00B60E12" w:rsidRDefault="009E575D">
            <w:pPr>
              <w:spacing w:before="20" w:after="20" w:line="280" w:lineRule="exact"/>
              <w:ind w:firstLine="0" w:firstLineChars="0"/>
              <w:jc w:val="left"/>
            </w:pPr>
            <w:r>
              <w:rPr>
                <w:sz w:val="19"/>
                <w:rFonts w:ascii="Times New Roman" w:hAnsi="Times New Roman" w:cs="Times New Roman" w:eastAsia="宋体"/>
              </w:rPr>
              <w:t>房屋建筑及相关图样</w:t>
            </w:r>
          </w:p>
        </w:tc>
        <w:tc>
          <w:tcPr>
            <w:tcW w:w="4706" w:type="dxa"/>
            <w:tcBorders>
              <w:top w:val="single" w:sz="4" w:space="0" w:color="D9D9D9"/>
              <w:left w:val="single" w:sz="4" w:space="0" w:color="D9D9D9"/>
              <w:bottom w:val="single" w:sz="4" w:space="0" w:color="D9D9D9"/>
              <w:right w:val="single" w:sz="4" w:space="0" w:color="D9D9D9"/>
            </w:tcBorders>
            <w:vAlign w:val="center"/>
          </w:tcPr>
          <w:p w14:paraId="2D48F3D2" w14:textId="77777777" w:rsidR="00B60E12" w:rsidRDefault="009E575D">
            <w:pPr>
              <w:spacing w:before="20" w:after="20" w:line="280" w:lineRule="exact"/>
              <w:ind w:firstLine="0" w:firstLineChars="0"/>
              <w:jc w:val="left"/>
            </w:pPr>
            <w:r>
              <w:rPr>
                <w:sz w:val="19"/>
                <w:rFonts w:ascii="Times New Roman" w:hAnsi="Times New Roman" w:cs="Times New Roman" w:eastAsia="宋体"/>
              </w:rPr>
              <w:t>GB/T 50001—2017</w:t>
            </w:r>
            <w:r>
              <w:rPr>
                <w:sz w:val="19"/>
                <w:rFonts w:ascii="Times New Roman" w:hAnsi="Times New Roman" w:cs="Times New Roman" w:eastAsia="宋体"/>
              </w:rPr>
              <w:t>《房屋建筑制图统一标准》；</w:t>
            </w:r>
            <w:r>
              <w:rPr>
                <w:sz w:val="19"/>
                <w:rFonts w:ascii="Times New Roman" w:hAnsi="Times New Roman" w:cs="Times New Roman" w:eastAsia="宋体"/>
              </w:rPr>
              <w:t>GB/T 50103—2010</w:t>
            </w:r>
            <w:r>
              <w:rPr>
                <w:sz w:val="19"/>
                <w:rFonts w:ascii="Times New Roman" w:hAnsi="Times New Roman" w:cs="Times New Roman" w:eastAsia="宋体"/>
              </w:rPr>
              <w:t>《总图制图标准》；</w:t>
            </w:r>
            <w:r>
              <w:rPr>
                <w:sz w:val="19"/>
                <w:rFonts w:ascii="Times New Roman" w:hAnsi="Times New Roman" w:cs="Times New Roman" w:eastAsia="宋体"/>
              </w:rPr>
              <w:t>GB/T 50104—2010</w:t>
            </w:r>
            <w:r>
              <w:rPr>
                <w:sz w:val="19"/>
                <w:rFonts w:ascii="Times New Roman" w:hAnsi="Times New Roman" w:cs="Times New Roman" w:eastAsia="宋体"/>
              </w:rPr>
              <w:t>《建筑制图标准》；</w:t>
            </w:r>
            <w:r>
              <w:rPr>
                <w:sz w:val="19"/>
                <w:rFonts w:ascii="Times New Roman" w:hAnsi="Times New Roman" w:cs="Times New Roman" w:eastAsia="宋体"/>
              </w:rPr>
              <w:t>GB/T 50105—2010</w:t>
            </w:r>
            <w:r>
              <w:rPr>
                <w:sz w:val="19"/>
                <w:rFonts w:ascii="Times New Roman" w:hAnsi="Times New Roman" w:cs="Times New Roman" w:eastAsia="宋体"/>
              </w:rPr>
              <w:t>《建筑结构制图标准》</w:t>
            </w:r>
            <w:r>
              <w:rPr>
                <w:sz w:val="15"/>
                <w:vertAlign w:val="superscript"/>
                <w:rFonts w:ascii="Times New Roman" w:hAnsi="Times New Roman" w:cs="Times New Roman" w:eastAsia="宋体"/>
              </w:rPr>
              <w:t>[9][10][11][12]</w:t>
            </w:r>
          </w:p>
        </w:tc>
        <w:tc>
          <w:tcPr>
            <w:tcW w:w="1928" w:type="dxa"/>
            <w:tcBorders>
              <w:top w:val="single" w:sz="4" w:space="0" w:color="D9D9D9"/>
              <w:left w:val="single" w:sz="4" w:space="0" w:color="D9D9D9"/>
              <w:bottom w:val="single" w:sz="4" w:space="0" w:color="D9D9D9"/>
              <w:right w:val="single" w:sz="4" w:space="0" w:color="D9D9D9"/>
            </w:tcBorders>
            <w:vAlign w:val="center"/>
          </w:tcPr>
          <w:p w14:paraId="62BE7F80" w14:textId="77777777" w:rsidR="00B60E12" w:rsidRDefault="009E575D">
            <w:pPr>
              <w:spacing w:before="20" w:after="20" w:line="280" w:lineRule="exact"/>
              <w:ind w:firstLine="0" w:firstLineChars="0"/>
              <w:jc w:val="left"/>
            </w:pPr>
            <w:r>
              <w:rPr>
                <w:sz w:val="19"/>
                <w:rFonts w:ascii="Times New Roman" w:hAnsi="Times New Roman" w:cs="Times New Roman" w:eastAsia="宋体"/>
              </w:rPr>
              <w:t>共性要求及总图、建筑图、结构图的表达</w:t>
            </w:r>
          </w:p>
        </w:tc>
      </w:tr>
      <w:tr w:rsidR="00B60E12" w14:paraId="7D14928D" w14:textId="77777777">
        <w:trPr>
          <w:cantSplit/>
          <w:jc w:val="center"/>
        </w:trPr>
        <w:tc>
          <w:tcPr>
            <w:tcW w:w="1587" w:type="dxa"/>
            <w:tcBorders>
              <w:top w:val="single" w:sz="4" w:space="0" w:color="D9D9D9"/>
              <w:left w:val="single" w:sz="4" w:space="0" w:color="D9D9D9"/>
              <w:bottom w:val="single" w:sz="4" w:space="0" w:color="D9D9D9"/>
              <w:right w:val="single" w:sz="4" w:space="0" w:color="D9D9D9"/>
            </w:tcBorders>
            <w:vAlign w:val="center"/>
          </w:tcPr>
          <w:p w14:paraId="2715AE2E" w14:textId="77777777" w:rsidR="00B60E12" w:rsidRDefault="009E575D">
            <w:pPr>
              <w:spacing w:before="20" w:after="20" w:line="280" w:lineRule="exact"/>
              <w:ind w:firstLine="0" w:firstLineChars="0"/>
              <w:jc w:val="left"/>
            </w:pPr>
            <w:r>
              <w:rPr>
                <w:sz w:val="19"/>
                <w:rFonts w:ascii="Times New Roman" w:hAnsi="Times New Roman" w:cs="Times New Roman" w:eastAsia="宋体"/>
              </w:rPr>
              <w:t>水利水电工程图样</w:t>
            </w:r>
          </w:p>
        </w:tc>
        <w:tc>
          <w:tcPr>
            <w:tcW w:w="4706" w:type="dxa"/>
            <w:tcBorders>
              <w:top w:val="single" w:sz="4" w:space="0" w:color="D9D9D9"/>
              <w:left w:val="single" w:sz="4" w:space="0" w:color="D9D9D9"/>
              <w:bottom w:val="single" w:sz="4" w:space="0" w:color="D9D9D9"/>
              <w:right w:val="single" w:sz="4" w:space="0" w:color="D9D9D9"/>
            </w:tcBorders>
            <w:vAlign w:val="center"/>
          </w:tcPr>
          <w:p w14:paraId="05C7DBE7" w14:textId="77777777" w:rsidR="00B60E12" w:rsidRDefault="009E575D">
            <w:pPr>
              <w:spacing w:before="20" w:after="20" w:line="280" w:lineRule="exact"/>
              <w:ind w:firstLine="0" w:firstLineChars="0"/>
              <w:jc w:val="left"/>
            </w:pPr>
            <w:r>
              <w:rPr>
                <w:sz w:val="19"/>
                <w:rFonts w:ascii="Times New Roman" w:hAnsi="Times New Roman" w:cs="Times New Roman" w:eastAsia="宋体"/>
              </w:rPr>
              <w:t>SL/T 73.1—2026</w:t>
            </w:r>
            <w:r>
              <w:rPr>
                <w:sz w:val="19"/>
                <w:rFonts w:ascii="Times New Roman" w:hAnsi="Times New Roman" w:cs="Times New Roman" w:eastAsia="宋体"/>
              </w:rPr>
              <w:t>《水利水电工程制图</w:t>
            </w:r>
            <w:r>
              <w:rPr>
                <w:sz w:val="19"/>
                <w:rFonts w:ascii="Times New Roman" w:hAnsi="Times New Roman" w:cs="Times New Roman" w:eastAsia="宋体"/>
              </w:rPr>
              <w:t xml:space="preserve"> </w:t>
            </w:r>
            <w:r>
              <w:rPr>
                <w:sz w:val="19"/>
                <w:rFonts w:ascii="Times New Roman" w:hAnsi="Times New Roman" w:cs="Times New Roman" w:eastAsia="宋体"/>
              </w:rPr>
              <w:t>第</w:t>
            </w:r>
            <w:r>
              <w:rPr>
                <w:sz w:val="19"/>
                <w:rFonts w:ascii="Times New Roman" w:hAnsi="Times New Roman" w:cs="Times New Roman" w:eastAsia="宋体"/>
              </w:rPr>
              <w:t>1</w:t>
            </w:r>
            <w:r>
              <w:rPr>
                <w:sz w:val="19"/>
                <w:rFonts w:ascii="Times New Roman" w:hAnsi="Times New Roman" w:cs="Times New Roman" w:eastAsia="宋体"/>
              </w:rPr>
              <w:t>部分：基础制图》；</w:t>
            </w:r>
            <w:r>
              <w:rPr>
                <w:sz w:val="19"/>
                <w:rFonts w:ascii="Times New Roman" w:hAnsi="Times New Roman" w:cs="Times New Roman" w:eastAsia="宋体"/>
              </w:rPr>
              <w:t>SL/T 73.2—2026</w:t>
            </w:r>
            <w:r>
              <w:rPr>
                <w:sz w:val="19"/>
                <w:rFonts w:ascii="Times New Roman" w:hAnsi="Times New Roman" w:cs="Times New Roman" w:eastAsia="宋体"/>
              </w:rPr>
              <w:t>《水利水电工程制图</w:t>
            </w:r>
            <w:r>
              <w:rPr>
                <w:sz w:val="19"/>
                <w:rFonts w:ascii="Times New Roman" w:hAnsi="Times New Roman" w:cs="Times New Roman" w:eastAsia="宋体"/>
              </w:rPr>
              <w:t xml:space="preserve"> </w:t>
            </w:r>
            <w:r>
              <w:rPr>
                <w:sz w:val="19"/>
                <w:rFonts w:ascii="Times New Roman" w:hAnsi="Times New Roman" w:cs="Times New Roman" w:eastAsia="宋体"/>
              </w:rPr>
              <w:t>第</w:t>
            </w:r>
            <w:r>
              <w:rPr>
                <w:sz w:val="19"/>
                <w:rFonts w:ascii="Times New Roman" w:hAnsi="Times New Roman" w:cs="Times New Roman" w:eastAsia="宋体"/>
              </w:rPr>
              <w:t>2</w:t>
            </w:r>
            <w:r>
              <w:rPr>
                <w:sz w:val="19"/>
                <w:rFonts w:ascii="Times New Roman" w:hAnsi="Times New Roman" w:cs="Times New Roman" w:eastAsia="宋体"/>
              </w:rPr>
              <w:t>部分：水工建筑图》</w:t>
            </w:r>
            <w:r>
              <w:rPr>
                <w:sz w:val="15"/>
                <w:vertAlign w:val="superscript"/>
                <w:rFonts w:ascii="Times New Roman" w:hAnsi="Times New Roman" w:cs="Times New Roman" w:eastAsia="宋体"/>
              </w:rPr>
              <w:t>[13]</w:t>
            </w:r>
          </w:p>
        </w:tc>
        <w:tc>
          <w:tcPr>
            <w:tcW w:w="1928" w:type="dxa"/>
            <w:tcBorders>
              <w:top w:val="single" w:sz="4" w:space="0" w:color="D9D9D9"/>
              <w:left w:val="single" w:sz="4" w:space="0" w:color="D9D9D9"/>
              <w:bottom w:val="single" w:sz="4" w:space="0" w:color="D9D9D9"/>
              <w:right w:val="single" w:sz="4" w:space="0" w:color="D9D9D9"/>
            </w:tcBorders>
            <w:vAlign w:val="center"/>
          </w:tcPr>
          <w:p w14:paraId="5F4BE171" w14:textId="77777777" w:rsidR="00B60E12" w:rsidRDefault="009E575D">
            <w:pPr>
              <w:spacing w:before="20" w:after="20" w:line="280" w:lineRule="exact"/>
              <w:ind w:firstLine="0" w:firstLineChars="0"/>
              <w:jc w:val="left"/>
            </w:pPr>
            <w:r>
              <w:rPr>
                <w:sz w:val="19"/>
                <w:rFonts w:ascii="Times New Roman" w:hAnsi="Times New Roman" w:cs="Times New Roman" w:eastAsia="宋体"/>
              </w:rPr>
              <w:t>基础制图与水工建筑图表达</w:t>
            </w:r>
          </w:p>
        </w:tc>
      </w:tr>
      <w:tr w:rsidR="00B60E12" w14:paraId="5CE8F117" w14:textId="77777777">
        <w:trPr>
          <w:cantSplit/>
          <w:jc w:val="center"/>
        </w:trPr>
        <w:tc>
          <w:tcPr>
            <w:tcW w:w="1587" w:type="dxa"/>
            <w:tcBorders>
              <w:top w:val="single" w:sz="4" w:space="0" w:color="D9D9D9"/>
              <w:left w:val="single" w:sz="4" w:space="0" w:color="D9D9D9"/>
              <w:bottom w:val="single" w:sz="4" w:space="0" w:color="D9D9D9"/>
              <w:right w:val="single" w:sz="4" w:space="0" w:color="D9D9D9"/>
            </w:tcBorders>
            <w:vAlign w:val="center"/>
          </w:tcPr>
          <w:p w14:paraId="194717A6" w14:textId="77777777" w:rsidR="00B60E12" w:rsidRDefault="009E575D">
            <w:pPr>
              <w:spacing w:before="20" w:after="20" w:line="280" w:lineRule="exact"/>
              <w:ind w:firstLine="0" w:firstLineChars="0"/>
              <w:jc w:val="left"/>
            </w:pPr>
            <w:r>
              <w:rPr>
                <w:sz w:val="19"/>
                <w:rFonts w:ascii="Times New Roman" w:hAnsi="Times New Roman" w:cs="Times New Roman" w:eastAsia="宋体"/>
              </w:rPr>
              <w:t>水电工程图样</w:t>
            </w:r>
          </w:p>
        </w:tc>
        <w:tc>
          <w:tcPr>
            <w:tcW w:w="4706" w:type="dxa"/>
            <w:tcBorders>
              <w:top w:val="single" w:sz="4" w:space="0" w:color="D9D9D9"/>
              <w:left w:val="single" w:sz="4" w:space="0" w:color="D9D9D9"/>
              <w:bottom w:val="single" w:sz="4" w:space="0" w:color="D9D9D9"/>
              <w:right w:val="single" w:sz="4" w:space="0" w:color="D9D9D9"/>
            </w:tcBorders>
            <w:vAlign w:val="center"/>
          </w:tcPr>
          <w:p w14:paraId="5762E87C" w14:textId="77777777" w:rsidR="00B60E12" w:rsidRDefault="009E575D">
            <w:pPr>
              <w:spacing w:before="20" w:after="20" w:line="280" w:lineRule="exact"/>
              <w:ind w:firstLine="0" w:firstLineChars="0"/>
              <w:jc w:val="left"/>
            </w:pPr>
            <w:r>
              <w:rPr>
                <w:sz w:val="19"/>
                <w:rFonts w:ascii="Times New Roman" w:hAnsi="Times New Roman" w:cs="Times New Roman" w:eastAsia="宋体"/>
              </w:rPr>
              <w:t>NB/T 10883.1—2023</w:t>
            </w:r>
            <w:r>
              <w:rPr>
                <w:sz w:val="19"/>
                <w:rFonts w:ascii="Times New Roman" w:hAnsi="Times New Roman" w:cs="Times New Roman" w:eastAsia="宋体"/>
              </w:rPr>
              <w:t>《水电工程制图标准</w:t>
            </w:r>
            <w:r>
              <w:rPr>
                <w:sz w:val="19"/>
                <w:rFonts w:ascii="Times New Roman" w:hAnsi="Times New Roman" w:cs="Times New Roman" w:eastAsia="宋体"/>
              </w:rPr>
              <w:t xml:space="preserve"> </w:t>
            </w:r>
            <w:r>
              <w:rPr>
                <w:sz w:val="19"/>
                <w:rFonts w:ascii="Times New Roman" w:hAnsi="Times New Roman" w:cs="Times New Roman" w:eastAsia="宋体"/>
              </w:rPr>
              <w:t>第</w:t>
            </w:r>
            <w:r>
              <w:rPr>
                <w:sz w:val="19"/>
                <w:rFonts w:ascii="Times New Roman" w:hAnsi="Times New Roman" w:cs="Times New Roman" w:eastAsia="宋体"/>
              </w:rPr>
              <w:t>1</w:t>
            </w:r>
            <w:r>
              <w:rPr>
                <w:sz w:val="19"/>
                <w:rFonts w:ascii="Times New Roman" w:hAnsi="Times New Roman" w:cs="Times New Roman" w:eastAsia="宋体"/>
              </w:rPr>
              <w:t>部分：基础制图》</w:t>
            </w:r>
            <w:r>
              <w:rPr>
                <w:sz w:val="15"/>
                <w:vertAlign w:val="superscript"/>
                <w:rFonts w:ascii="Times New Roman" w:hAnsi="Times New Roman" w:cs="Times New Roman" w:eastAsia="宋体"/>
              </w:rPr>
              <w:t>[14]</w:t>
            </w:r>
          </w:p>
        </w:tc>
        <w:tc>
          <w:tcPr>
            <w:tcW w:w="1928" w:type="dxa"/>
            <w:tcBorders>
              <w:top w:val="single" w:sz="4" w:space="0" w:color="D9D9D9"/>
              <w:left w:val="single" w:sz="4" w:space="0" w:color="D9D9D9"/>
              <w:bottom w:val="single" w:sz="4" w:space="0" w:color="D9D9D9"/>
              <w:right w:val="single" w:sz="4" w:space="0" w:color="D9D9D9"/>
            </w:tcBorders>
            <w:vAlign w:val="center"/>
          </w:tcPr>
          <w:p w14:paraId="087DCB32" w14:textId="77777777" w:rsidR="00B60E12" w:rsidRDefault="009E575D">
            <w:pPr>
              <w:spacing w:before="20" w:after="20" w:line="280" w:lineRule="exact"/>
              <w:ind w:firstLine="0" w:firstLineChars="0"/>
              <w:jc w:val="left"/>
            </w:pPr>
            <w:r>
              <w:rPr>
                <w:sz w:val="19"/>
                <w:rFonts w:ascii="Times New Roman" w:hAnsi="Times New Roman" w:cs="Times New Roman" w:eastAsia="宋体"/>
              </w:rPr>
              <w:t>水电工程基础制图</w:t>
            </w:r>
          </w:p>
        </w:tc>
      </w:tr>
      <w:tr w:rsidR="00B60E12" w14:paraId="219AACAD" w14:textId="77777777">
        <w:trPr>
          <w:cantSplit/>
          <w:jc w:val="center"/>
        </w:trPr>
        <w:tc>
          <w:tcPr>
            <w:tcW w:w="1587" w:type="dxa"/>
            <w:tcBorders>
              <w:top w:val="single" w:sz="4" w:space="0" w:color="D9D9D9"/>
              <w:left w:val="single" w:sz="4" w:space="0" w:color="D9D9D9"/>
              <w:bottom w:val="single" w:sz="4" w:space="0" w:color="D9D9D9"/>
              <w:right w:val="single" w:sz="4" w:space="0" w:color="D9D9D9"/>
            </w:tcBorders>
            <w:vAlign w:val="center"/>
          </w:tcPr>
          <w:p w14:paraId="6F75D479" w14:textId="77777777" w:rsidR="00B60E12" w:rsidRDefault="009E575D">
            <w:pPr>
              <w:spacing w:before="20" w:after="20" w:line="280" w:lineRule="exact"/>
              <w:ind w:firstLine="0" w:firstLineChars="0"/>
              <w:jc w:val="left"/>
            </w:pPr>
            <w:r>
              <w:rPr>
                <w:sz w:val="19"/>
                <w:rFonts w:ascii="Times New Roman" w:hAnsi="Times New Roman" w:cs="Times New Roman" w:eastAsia="宋体"/>
              </w:rPr>
              <w:t>建筑信息模型</w:t>
            </w:r>
          </w:p>
        </w:tc>
        <w:tc>
          <w:tcPr>
            <w:tcW w:w="4706" w:type="dxa"/>
            <w:tcBorders>
              <w:top w:val="single" w:sz="4" w:space="0" w:color="D9D9D9"/>
              <w:left w:val="single" w:sz="4" w:space="0" w:color="D9D9D9"/>
              <w:bottom w:val="single" w:sz="4" w:space="0" w:color="D9D9D9"/>
              <w:right w:val="single" w:sz="4" w:space="0" w:color="D9D9D9"/>
            </w:tcBorders>
            <w:vAlign w:val="center"/>
          </w:tcPr>
          <w:p w14:paraId="16650CFC" w14:textId="77777777" w:rsidR="00B60E12" w:rsidRDefault="009E575D">
            <w:pPr>
              <w:spacing w:before="20" w:after="20" w:line="280" w:lineRule="exact"/>
              <w:ind w:firstLine="0" w:firstLineChars="0"/>
              <w:jc w:val="left"/>
            </w:pPr>
            <w:r>
              <w:rPr>
                <w:sz w:val="19"/>
                <w:rFonts w:ascii="Times New Roman" w:hAnsi="Times New Roman" w:cs="Times New Roman" w:eastAsia="宋体"/>
              </w:rPr>
              <w:t>GB/T 51212—2016</w:t>
            </w:r>
            <w:r>
              <w:rPr>
                <w:sz w:val="19"/>
                <w:rFonts w:ascii="Times New Roman" w:hAnsi="Times New Roman" w:cs="Times New Roman" w:eastAsia="宋体"/>
              </w:rPr>
              <w:t>《建筑信息模型应用统一标准》；</w:t>
            </w:r>
            <w:r>
              <w:rPr>
                <w:sz w:val="19"/>
                <w:rFonts w:ascii="Times New Roman" w:hAnsi="Times New Roman" w:cs="Times New Roman" w:eastAsia="宋体"/>
              </w:rPr>
              <w:t>GB/T 51301—2018</w:t>
            </w:r>
            <w:r>
              <w:rPr>
                <w:sz w:val="19"/>
                <w:rFonts w:ascii="Times New Roman" w:hAnsi="Times New Roman" w:cs="Times New Roman" w:eastAsia="宋体"/>
              </w:rPr>
              <w:t>《建筑信息模型设计交付标准》</w:t>
            </w:r>
            <w:r>
              <w:rPr>
                <w:sz w:val="15"/>
                <w:vertAlign w:val="superscript"/>
                <w:rFonts w:ascii="Times New Roman" w:hAnsi="Times New Roman" w:cs="Times New Roman" w:eastAsia="宋体"/>
              </w:rPr>
              <w:t>[15][16]</w:t>
            </w:r>
          </w:p>
        </w:tc>
        <w:tc>
          <w:tcPr>
            <w:tcW w:w="1928" w:type="dxa"/>
            <w:tcBorders>
              <w:top w:val="single" w:sz="4" w:space="0" w:color="D9D9D9"/>
              <w:left w:val="single" w:sz="4" w:space="0" w:color="D9D9D9"/>
              <w:bottom w:val="single" w:sz="4" w:space="0" w:color="D9D9D9"/>
              <w:right w:val="single" w:sz="4" w:space="0" w:color="D9D9D9"/>
            </w:tcBorders>
            <w:vAlign w:val="center"/>
          </w:tcPr>
          <w:p w14:paraId="3DAFF018" w14:textId="77777777" w:rsidR="00B60E12" w:rsidRDefault="009E575D">
            <w:pPr>
              <w:spacing w:before="20" w:after="20" w:line="280" w:lineRule="exact"/>
              <w:ind w:firstLine="0" w:firstLineChars="0"/>
              <w:jc w:val="left"/>
            </w:pPr>
            <w:r>
              <w:rPr>
                <w:sz w:val="19"/>
                <w:rFonts w:ascii="Times New Roman" w:hAnsi="Times New Roman" w:cs="Times New Roman" w:eastAsia="宋体"/>
              </w:rPr>
              <w:t>模型应用、信息组织与设计交付</w:t>
            </w:r>
          </w:p>
        </w:tc>
      </w:tr>
    </w:tbl>
    <w:p w14:paraId="45DF2829" w14:textId="77777777" w:rsidR="00B60E12" w:rsidRDefault="00B60E12">
      <w:pPr>
        <w:spacing w:line="80" w:lineRule="exact"/>
      </w:pPr>
    </w:p>
    <w:p w14:paraId="1D149965" w14:textId="77777777" w:rsidR="00B60E12" w:rsidRDefault="009E575D">
      <w:pPr>
        <w:pStyle w:val="4"/>
      </w:pPr>
      <w:r>
        <w:t xml:space="preserve">1.3.2 </w:t>
      </w:r>
      <w:r>
        <w:t>不同专业的表达重点</w:t>
      </w:r>
    </w:p>
    <w:p w14:paraId="3A4D6BC4" w14:textId="77777777" w:rsidR="00B60E12" w:rsidRDefault="009E575D">
      <w:pPr/>
      <w:r>
        <w:t>机械、土木、水利和电力工程都需要表达形状、尺寸与位置，但对象的功能和构造不同，图样的组织方式和技术要求也有所区别。</w:t>
      </w:r>
    </w:p>
    <w:p w14:paraId="472C2142" w14:textId="77777777" w:rsidR="00B60E12" w:rsidRDefault="009E575D">
      <w:pPr/>
      <w:r>
        <w:t>机械图样重视零件形状、加工要求和装配关系。例如，法兰图样需要表达外径、厚度、连接孔及其分布，必要时还应给出公差和表面要求。土木工程图样重视建筑物或构筑物的布置、轴线、标高、构件尺寸和节点关系。例如，厂房柱既需要表达截面与高度，也需要说明它在整体结构中的位置。</w:t>
      </w:r>
    </w:p>
    <w:p w14:paraId="0304BFC4" w14:textId="77777777" w:rsidR="00B60E12" w:rsidRDefault="009E575D">
      <w:pPr/>
      <w:r>
        <w:t>水利工程图样常与地形、水流方向和水工建筑物布置相联系。识读闸墩等对象时，应结合平面、纵横断面及高程理解其形状和位置。电力工程则同时涉及设备、电气系统与设备基础等土建对象。设备基础的形体图与电气原理图承担不同表达任务，采用的规则也需分别判断。</w:t>
      </w:r>
    </w:p>
    <w:p w14:paraId="683D6D0F" w14:textId="77777777" w:rsidR="00B60E12" w:rsidRDefault="009E575D">
      <w:pPr/>
      <w:r>
        <w:t>不同专业的图样可以运用共同的投影知识，但具体表达应遵循相应标准和专业要求。水电工程基础制图标准有明确的适用对象，不能据此概括变电站各专业的全部表达规则。</w:t>
      </w:r>
    </w:p>
    <w:p w14:paraId="178DD4C3" w14:textId="77777777" w:rsidR="00B60E12" w:rsidRDefault="009E575D">
      <w:pPr>
        <w:pStyle w:val="4"/>
      </w:pPr>
      <w:r>
        <w:lastRenderedPageBreak/>
        <w:t xml:space="preserve">1.3.3 </w:t>
      </w:r>
      <w:r>
        <w:t>标准的查阅与使用</w:t>
      </w:r>
    </w:p>
    <w:p w14:paraId="3727EE12" w14:textId="77777777" w:rsidR="00B60E12" w:rsidRDefault="009E575D">
      <w:pPr/>
      <w:r>
        <w:t>使用标准时，可按</w:t>
      </w:r>
      <w:r>
        <w:t>“</w:t>
      </w:r>
      <w:r>
        <w:t>明确对象与问题</w:t>
      </w:r>
      <w:r>
        <w:t>—</w:t>
      </w:r>
      <w:r>
        <w:t>查找标准</w:t>
      </w:r>
      <w:r>
        <w:t>—</w:t>
      </w:r>
      <w:r>
        <w:t>核实版本和适用范围</w:t>
      </w:r>
      <w:r>
        <w:t>—</w:t>
      </w:r>
      <w:r>
        <w:t>阅读有关条文</w:t>
      </w:r>
      <w:r>
        <w:t>”</w:t>
      </w:r>
      <w:r>
        <w:t>的顺序进行。国家标准可以通过全国标准信息公共服务平台等官方渠道检索，工程建设和行业标准还应查阅主管部门的发布信息。</w:t>
      </w:r>
    </w:p>
    <w:p w14:paraId="11E4E8FB" w14:textId="77777777" w:rsidR="00B60E12" w:rsidRDefault="009E575D">
      <w:pPr/>
      <w:r>
        <w:t>标准会修订或被替代。</w:t>
      </w:r>
      <w:r>
        <w:t>SL/T 73</w:t>
      </w:r>
      <w:r>
        <w:t>系列已有</w:t>
      </w:r>
      <w:r>
        <w:t>2026</w:t>
      </w:r>
      <w:r>
        <w:t>年版，</w:t>
      </w:r>
      <w:r>
        <w:t>NB/T 10883.1—2023</w:t>
      </w:r>
      <w:r>
        <w:t>已替代</w:t>
      </w:r>
      <w:r>
        <w:t>DL/T 5347—2006</w:t>
      </w:r>
      <w:r>
        <w:t>。阅读旧教材时，应学习其表达原理，并核对所引标准的现行版本。</w:t>
      </w:r>
      <w:r>
        <w:rPr>
          <w:sz w:val="15"/>
          <w:vertAlign w:val="superscript"/>
        </w:rPr>
        <w:t>[13][14]</w:t>
      </w:r>
    </w:p>
    <w:p w14:paraId="15CAA0C1" w14:textId="77777777" w:rsidR="00B60E12" w:rsidRDefault="009E575D">
      <w:pPr/>
      <w:r>
        <w:t>学习基本规定还应理解其工程含义。例如，教学底座实际长度为</w:t>
      </w:r>
      <w:r>
        <w:t>200 mm</w:t>
      </w:r>
      <w:r>
        <w:t>，按</w:t>
      </w:r>
      <w:r>
        <w:t>1∶2</w:t>
      </w:r>
      <w:r>
        <w:t>比例绘制时，图中对应线段长</w:t>
      </w:r>
      <w:r>
        <w:t>100 mm</w:t>
      </w:r>
      <w:r>
        <w:t>，尺寸标注仍表达实际长度</w:t>
      </w:r>
      <w:r>
        <w:t>200 mm</w:t>
      </w:r>
      <w:r>
        <w:t>。图形的缩放改变显示大小，不改变所表示对象的实际尺寸。</w:t>
      </w:r>
    </w:p>
    <w:p w14:paraId="1985CF1A" w14:textId="77777777" w:rsidR="00B60E12" w:rsidRDefault="009E575D">
      <w:pPr>
        <w:pStyle w:val="Resource"/>
      </w:pPr>
      <w:r>
        <w:t>配套资源</w:t>
      </w:r>
      <w:r>
        <w:t xml:space="preserve"> R1-04</w:t>
      </w:r>
      <w:r>
        <w:t xml:space="preserve">　比例与尺寸</w:t>
      </w:r>
    </w:p>
    <w:p w14:paraId="3D66DAC2" w14:textId="77777777" w:rsidR="00B60E12" w:rsidRDefault="009E575D">
      <w:pPr>
        <w:pStyle w:val="31"/>
      </w:pPr>
      <w:r>
        <w:t xml:space="preserve">1.4 </w:t>
      </w:r>
      <w:r>
        <w:t>信息化建模的基本概念</w:t>
      </w:r>
    </w:p>
    <w:p w14:paraId="2DE314CD" w14:textId="77777777" w:rsidR="00B60E12" w:rsidRDefault="009E575D">
      <w:pPr>
        <w:pStyle w:val="4"/>
      </w:pPr>
      <w:r>
        <w:t xml:space="preserve">1.4.1 </w:t>
      </w:r>
      <w:r>
        <w:t>几何信息与非几何信息</w:t>
      </w:r>
    </w:p>
    <w:p w14:paraId="7BA1CB85" w14:textId="77777777" w:rsidR="00B60E12" w:rsidRDefault="009E575D">
      <w:pPr/>
      <w:r>
        <w:t>本课程所说的信息化建模，是在建立工程对象空间形体的同时，按使用目的组织对象的属性及相互关系，使图形表达与工程数据联系起来。它涵盖课程中的机械零件与工程构件，是本书组织学习内容的概念。</w:t>
      </w:r>
    </w:p>
    <w:p w14:paraId="09099F5C" w14:textId="77777777" w:rsidR="00B60E12" w:rsidRDefault="009E575D">
      <w:pPr/>
      <w:r>
        <w:t>几何信息主要说明对象的形状、大小和空间位置，如截面尺寸、长度、孔径、坐标及朝向。非几何属性信息说明材料、编号、类别、状态等特征。对象之间还存在组成、连接、归属等关系，如某个零件属于哪一个装配体、某根柱属于哪一层、某台设备安装在哪个基础上。这些关系使孤立对象能够组织为产品或工程整体。</w:t>
      </w:r>
    </w:p>
    <w:p w14:paraId="51335194" w14:textId="77777777" w:rsidR="00B60E12" w:rsidRDefault="009E575D">
      <w:pPr/>
      <w:r>
        <w:t>以带通孔底座为例，改变孔径会改变几何形状；改变材料名称，外观可能不变，但涉及的工程信息已经不同。机械三维建模也可以记录材料、加工和装配等信息，非几何信息并非建筑信息模型独有。</w:t>
      </w:r>
      <w:r>
        <w:rPr>
          <w:sz w:val="15"/>
          <w:vertAlign w:val="superscript"/>
        </w:rPr>
        <w:t>[4]</w:t>
      </w:r>
    </w:p>
    <w:p w14:paraId="38CD8DB5" w14:textId="77777777" w:rsidR="00B60E12" w:rsidRDefault="009E575D">
      <w:pPr>
        <w:pStyle w:val="af7"/>
        <w:keepNext/>
      </w:pPr>
      <w:r>
        <w:t>表</w:t>
      </w:r>
      <w:r>
        <w:t xml:space="preserve">1-3 </w:t>
      </w:r>
      <w:r>
        <w:t>带通孔底座的教学信息记录示例</w:t>
      </w:r>
    </w:p>
    <w:tbl>
      <w:tblPr>
        <w:tblW w:w="0" w:type="auto"/>
        <w:jc w:val="center"/>
        <w:tblLayout w:type="fixed"/>
        <w:tblCellMar>
          <w:top w:w="55" w:type="dxa"/>
          <w:left w:w="75" w:type="dxa"/>
          <w:bottom w:w="55" w:type="dxa"/>
          <w:right w:w="75" w:type="dxa"/>
        </w:tblCellMar>
        <w:tblLook w:val="04A0" w:firstRow="1" w:lastRow="0" w:firstColumn="1" w:lastColumn="0" w:noHBand="0" w:noVBand="1"/>
      </w:tblPr>
      <w:tblGrid>
        <w:gridCol w:w="1531"/>
        <w:gridCol w:w="3912"/>
        <w:gridCol w:w="2778"/>
      </w:tblGrid>
      <w:tr w:rsidR="00B60E12" w14:paraId="3F54B2EE" w14:textId="77777777">
        <w:trPr>
          <w:cantSplit/>
          <w:tblHeader/>
          <w:jc w:val="center"/>
        </w:trPr>
        <w:tc>
          <w:tcPr>
            <w:tcW w:w="1531"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40C224A8"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信息类别</w:t>
            </w:r>
          </w:p>
        </w:tc>
        <w:tc>
          <w:tcPr>
            <w:tcW w:w="3912"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73051AF1"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示例内容</w:t>
            </w:r>
          </w:p>
        </w:tc>
        <w:tc>
          <w:tcPr>
            <w:tcW w:w="2778"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25E78E8E"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说明</w:t>
            </w:r>
          </w:p>
        </w:tc>
      </w:tr>
      <w:tr w:rsidR="00B60E12" w14:paraId="38B86F8C" w14:textId="77777777">
        <w:trPr>
          <w:cantSplit/>
          <w:jc w:val="center"/>
        </w:trPr>
        <w:tc>
          <w:tcPr>
            <w:tcW w:w="1531" w:type="dxa"/>
            <w:tcBorders>
              <w:top w:val="single" w:sz="4" w:space="0" w:color="D9D9D9"/>
              <w:left w:val="single" w:sz="4" w:space="0" w:color="D9D9D9"/>
              <w:bottom w:val="single" w:sz="4" w:space="0" w:color="D9D9D9"/>
              <w:right w:val="single" w:sz="4" w:space="0" w:color="D9D9D9"/>
            </w:tcBorders>
            <w:vAlign w:val="center"/>
          </w:tcPr>
          <w:p w14:paraId="2F612A08" w14:textId="77777777" w:rsidR="00B60E12" w:rsidRDefault="009E575D">
            <w:pPr>
              <w:spacing w:before="20" w:after="20" w:line="280" w:lineRule="exact"/>
              <w:ind w:firstLine="0" w:firstLineChars="0"/>
              <w:jc w:val="left"/>
            </w:pPr>
            <w:r>
              <w:rPr>
                <w:sz w:val="19"/>
                <w:rFonts w:ascii="Times New Roman" w:hAnsi="Times New Roman" w:cs="Times New Roman" w:eastAsia="宋体"/>
              </w:rPr>
              <w:t>几何信息</w:t>
            </w:r>
          </w:p>
        </w:tc>
        <w:tc>
          <w:tcPr>
            <w:tcW w:w="3912" w:type="dxa"/>
            <w:tcBorders>
              <w:top w:val="single" w:sz="4" w:space="0" w:color="D9D9D9"/>
              <w:left w:val="single" w:sz="4" w:space="0" w:color="D9D9D9"/>
              <w:bottom w:val="single" w:sz="4" w:space="0" w:color="D9D9D9"/>
              <w:right w:val="single" w:sz="4" w:space="0" w:color="D9D9D9"/>
            </w:tcBorders>
            <w:vAlign w:val="center"/>
          </w:tcPr>
          <w:p w14:paraId="3D963904" w14:textId="77777777" w:rsidR="00B60E12" w:rsidRDefault="009E575D">
            <w:pPr>
              <w:spacing w:before="20" w:after="20" w:line="280" w:lineRule="exact"/>
              <w:ind w:firstLine="0" w:firstLineChars="0"/>
              <w:jc w:val="left"/>
            </w:pPr>
            <w:r>
              <w:rPr>
                <w:sz w:val="19"/>
                <w:rFonts w:ascii="Times New Roman" w:hAnsi="Times New Roman" w:cs="Times New Roman" w:eastAsia="宋体"/>
              </w:rPr>
              <w:t>长</w:t>
            </w:r>
            <w:r>
              <w:rPr>
                <w:sz w:val="19"/>
                <w:rFonts w:ascii="Times New Roman" w:hAnsi="Times New Roman" w:cs="Times New Roman" w:eastAsia="宋体"/>
              </w:rPr>
              <w:t>200 mm</w:t>
            </w:r>
            <w:r>
              <w:rPr>
                <w:sz w:val="19"/>
                <w:rFonts w:ascii="Times New Roman" w:hAnsi="Times New Roman" w:cs="Times New Roman" w:eastAsia="宋体"/>
              </w:rPr>
              <w:t>、宽</w:t>
            </w:r>
            <w:r>
              <w:rPr>
                <w:sz w:val="19"/>
                <w:rFonts w:ascii="Times New Roman" w:hAnsi="Times New Roman" w:cs="Times New Roman" w:eastAsia="宋体"/>
              </w:rPr>
              <w:t>120 mm</w:t>
            </w:r>
            <w:r>
              <w:rPr>
                <w:sz w:val="19"/>
                <w:rFonts w:ascii="Times New Roman" w:hAnsi="Times New Roman" w:cs="Times New Roman" w:eastAsia="宋体"/>
              </w:rPr>
              <w:t>、厚</w:t>
            </w:r>
            <w:r>
              <w:rPr>
                <w:sz w:val="19"/>
                <w:rFonts w:ascii="Times New Roman" w:hAnsi="Times New Roman" w:cs="Times New Roman" w:eastAsia="宋体"/>
              </w:rPr>
              <w:t>40 mm</w:t>
            </w:r>
            <w:r>
              <w:rPr>
                <w:sz w:val="19"/>
                <w:rFonts w:ascii="Times New Roman" w:hAnsi="Times New Roman" w:cs="Times New Roman" w:eastAsia="宋体"/>
              </w:rPr>
              <w:t>；中心竖向通孔直径</w:t>
            </w:r>
            <w:r>
              <w:rPr>
                <w:sz w:val="19"/>
                <w:rFonts w:ascii="Times New Roman" w:hAnsi="Times New Roman" w:cs="Times New Roman" w:eastAsia="宋体"/>
              </w:rPr>
              <w:t>40 mm</w:t>
            </w:r>
          </w:p>
        </w:tc>
        <w:tc>
          <w:tcPr>
            <w:tcW w:w="2778" w:type="dxa"/>
            <w:tcBorders>
              <w:top w:val="single" w:sz="4" w:space="0" w:color="D9D9D9"/>
              <w:left w:val="single" w:sz="4" w:space="0" w:color="D9D9D9"/>
              <w:bottom w:val="single" w:sz="4" w:space="0" w:color="D9D9D9"/>
              <w:right w:val="single" w:sz="4" w:space="0" w:color="D9D9D9"/>
            </w:tcBorders>
            <w:vAlign w:val="center"/>
          </w:tcPr>
          <w:p w14:paraId="47162C90" w14:textId="77777777" w:rsidR="00B60E12" w:rsidRDefault="009E575D">
            <w:pPr>
              <w:spacing w:before="20" w:after="20" w:line="280" w:lineRule="exact"/>
              <w:ind w:firstLine="0" w:firstLineChars="0"/>
              <w:jc w:val="left"/>
            </w:pPr>
            <w:r>
              <w:rPr>
                <w:sz w:val="19"/>
                <w:rFonts w:ascii="Times New Roman" w:hAnsi="Times New Roman" w:cs="Times New Roman" w:eastAsia="宋体"/>
              </w:rPr>
              <w:t>本章给定的教学参数</w:t>
            </w:r>
          </w:p>
        </w:tc>
      </w:tr>
      <w:tr w:rsidR="00B60E12" w14:paraId="7F353C1A" w14:textId="77777777">
        <w:trPr>
          <w:cantSplit/>
          <w:jc w:val="center"/>
        </w:trPr>
        <w:tc>
          <w:tcPr>
            <w:tcW w:w="1531" w:type="dxa"/>
            <w:tcBorders>
              <w:top w:val="single" w:sz="4" w:space="0" w:color="D9D9D9"/>
              <w:left w:val="single" w:sz="4" w:space="0" w:color="D9D9D9"/>
              <w:bottom w:val="single" w:sz="4" w:space="0" w:color="D9D9D9"/>
              <w:right w:val="single" w:sz="4" w:space="0" w:color="D9D9D9"/>
            </w:tcBorders>
            <w:vAlign w:val="center"/>
          </w:tcPr>
          <w:p w14:paraId="169C2288" w14:textId="77777777" w:rsidR="00B60E12" w:rsidRDefault="009E575D">
            <w:pPr>
              <w:spacing w:before="20" w:after="20" w:line="280" w:lineRule="exact"/>
              <w:ind w:firstLine="0" w:firstLineChars="0"/>
              <w:jc w:val="left"/>
            </w:pPr>
            <w:r>
              <w:rPr>
                <w:sz w:val="19"/>
                <w:rFonts w:ascii="Times New Roman" w:hAnsi="Times New Roman" w:cs="Times New Roman" w:eastAsia="宋体"/>
              </w:rPr>
              <w:t>标识信息</w:t>
            </w:r>
          </w:p>
        </w:tc>
        <w:tc>
          <w:tcPr>
            <w:tcW w:w="3912" w:type="dxa"/>
            <w:tcBorders>
              <w:top w:val="single" w:sz="4" w:space="0" w:color="D9D9D9"/>
              <w:left w:val="single" w:sz="4" w:space="0" w:color="D9D9D9"/>
              <w:bottom w:val="single" w:sz="4" w:space="0" w:color="D9D9D9"/>
              <w:right w:val="single" w:sz="4" w:space="0" w:color="D9D9D9"/>
            </w:tcBorders>
            <w:vAlign w:val="center"/>
          </w:tcPr>
          <w:p w14:paraId="7EE5789F" w14:textId="77777777" w:rsidR="00B60E12" w:rsidRDefault="009E575D">
            <w:pPr>
              <w:spacing w:before="20" w:after="20" w:line="280" w:lineRule="exact"/>
              <w:ind w:firstLine="0" w:firstLineChars="0"/>
              <w:jc w:val="left"/>
            </w:pPr>
            <w:r>
              <w:rPr>
                <w:sz w:val="19"/>
                <w:rFonts w:ascii="Times New Roman" w:hAnsi="Times New Roman" w:cs="Times New Roman" w:eastAsia="宋体"/>
              </w:rPr>
              <w:t>编号</w:t>
            </w:r>
            <w:r>
              <w:rPr>
                <w:sz w:val="19"/>
                <w:rFonts w:ascii="Times New Roman" w:hAnsi="Times New Roman" w:cs="Times New Roman" w:eastAsia="宋体"/>
              </w:rPr>
              <w:t>JX-01</w:t>
            </w:r>
            <w:r>
              <w:rPr>
                <w:sz w:val="19"/>
                <w:rFonts w:ascii="Times New Roman" w:hAnsi="Times New Roman" w:cs="Times New Roman" w:eastAsia="宋体"/>
              </w:rPr>
              <w:t>；名称</w:t>
            </w:r>
            <w:r>
              <w:rPr>
                <w:sz w:val="19"/>
                <w:rFonts w:ascii="Times New Roman" w:hAnsi="Times New Roman" w:cs="Times New Roman" w:eastAsia="宋体"/>
              </w:rPr>
              <w:t>“</w:t>
            </w:r>
            <w:r>
              <w:rPr>
                <w:sz w:val="19"/>
                <w:rFonts w:ascii="Times New Roman" w:hAnsi="Times New Roman" w:cs="Times New Roman" w:eastAsia="宋体"/>
              </w:rPr>
              <w:t>带通孔底座</w:t>
            </w:r>
            <w:r>
              <w:rPr>
                <w:sz w:val="19"/>
                <w:rFonts w:ascii="Times New Roman" w:hAnsi="Times New Roman" w:cs="Times New Roman" w:eastAsia="宋体"/>
              </w:rPr>
              <w:t>”</w:t>
            </w:r>
          </w:p>
        </w:tc>
        <w:tc>
          <w:tcPr>
            <w:tcW w:w="2778" w:type="dxa"/>
            <w:tcBorders>
              <w:top w:val="single" w:sz="4" w:space="0" w:color="D9D9D9"/>
              <w:left w:val="single" w:sz="4" w:space="0" w:color="D9D9D9"/>
              <w:bottom w:val="single" w:sz="4" w:space="0" w:color="D9D9D9"/>
              <w:right w:val="single" w:sz="4" w:space="0" w:color="D9D9D9"/>
            </w:tcBorders>
            <w:vAlign w:val="center"/>
          </w:tcPr>
          <w:p w14:paraId="445154F6" w14:textId="77777777" w:rsidR="00B60E12" w:rsidRDefault="009E575D">
            <w:pPr>
              <w:spacing w:before="20" w:after="20" w:line="280" w:lineRule="exact"/>
              <w:ind w:firstLine="0" w:firstLineChars="0"/>
              <w:jc w:val="left"/>
            </w:pPr>
            <w:r>
              <w:rPr>
                <w:sz w:val="19"/>
                <w:rFonts w:ascii="Times New Roman" w:hAnsi="Times New Roman" w:cs="Times New Roman" w:eastAsia="宋体"/>
              </w:rPr>
              <w:t>用于识别同一对象</w:t>
            </w:r>
          </w:p>
        </w:tc>
      </w:tr>
      <w:tr w:rsidR="00B60E12" w14:paraId="0AD2E42E" w14:textId="77777777">
        <w:trPr>
          <w:cantSplit/>
          <w:jc w:val="center"/>
        </w:trPr>
        <w:tc>
          <w:tcPr>
            <w:tcW w:w="1531" w:type="dxa"/>
            <w:tcBorders>
              <w:top w:val="single" w:sz="4" w:space="0" w:color="D9D9D9"/>
              <w:left w:val="single" w:sz="4" w:space="0" w:color="D9D9D9"/>
              <w:bottom w:val="single" w:sz="4" w:space="0" w:color="D9D9D9"/>
              <w:right w:val="single" w:sz="4" w:space="0" w:color="D9D9D9"/>
            </w:tcBorders>
            <w:vAlign w:val="center"/>
          </w:tcPr>
          <w:p w14:paraId="384FB060" w14:textId="77777777" w:rsidR="00B60E12" w:rsidRDefault="009E575D">
            <w:pPr>
              <w:spacing w:before="20" w:after="20" w:line="280" w:lineRule="exact"/>
              <w:ind w:firstLine="0" w:firstLineChars="0"/>
              <w:jc w:val="left"/>
            </w:pPr>
            <w:r>
              <w:rPr>
                <w:sz w:val="19"/>
                <w:rFonts w:ascii="Times New Roman" w:hAnsi="Times New Roman" w:cs="Times New Roman" w:eastAsia="宋体"/>
              </w:rPr>
              <w:t>材料信息</w:t>
            </w:r>
          </w:p>
        </w:tc>
        <w:tc>
          <w:tcPr>
            <w:tcW w:w="3912" w:type="dxa"/>
            <w:tcBorders>
              <w:top w:val="single" w:sz="4" w:space="0" w:color="D9D9D9"/>
              <w:left w:val="single" w:sz="4" w:space="0" w:color="D9D9D9"/>
              <w:bottom w:val="single" w:sz="4" w:space="0" w:color="D9D9D9"/>
              <w:right w:val="single" w:sz="4" w:space="0" w:color="D9D9D9"/>
            </w:tcBorders>
            <w:vAlign w:val="center"/>
          </w:tcPr>
          <w:p w14:paraId="642E2153" w14:textId="77777777" w:rsidR="00B60E12" w:rsidRDefault="009E575D">
            <w:pPr>
              <w:spacing w:before="20" w:after="20" w:line="280" w:lineRule="exact"/>
              <w:ind w:firstLine="0" w:firstLineChars="0"/>
              <w:jc w:val="left"/>
            </w:pPr>
            <w:r>
              <w:rPr>
                <w:sz w:val="19"/>
                <w:rFonts w:ascii="Times New Roman" w:hAnsi="Times New Roman" w:cs="Times New Roman" w:eastAsia="宋体"/>
              </w:rPr>
              <w:t>材料待定</w:t>
            </w:r>
          </w:p>
        </w:tc>
        <w:tc>
          <w:tcPr>
            <w:tcW w:w="2778" w:type="dxa"/>
            <w:tcBorders>
              <w:top w:val="single" w:sz="4" w:space="0" w:color="D9D9D9"/>
              <w:left w:val="single" w:sz="4" w:space="0" w:color="D9D9D9"/>
              <w:bottom w:val="single" w:sz="4" w:space="0" w:color="D9D9D9"/>
              <w:right w:val="single" w:sz="4" w:space="0" w:color="D9D9D9"/>
            </w:tcBorders>
            <w:vAlign w:val="center"/>
          </w:tcPr>
          <w:p w14:paraId="58C14DCF" w14:textId="77777777" w:rsidR="00B60E12" w:rsidRDefault="009E575D">
            <w:pPr>
              <w:spacing w:before="20" w:after="20" w:line="280" w:lineRule="exact"/>
              <w:ind w:firstLine="0" w:firstLineChars="0"/>
              <w:jc w:val="left"/>
            </w:pPr>
            <w:r>
              <w:rPr>
                <w:sz w:val="19"/>
                <w:rFonts w:ascii="Times New Roman" w:hAnsi="Times New Roman" w:cs="Times New Roman" w:eastAsia="宋体"/>
              </w:rPr>
              <w:t>不能据此计算质量或判断强度</w:t>
            </w:r>
          </w:p>
        </w:tc>
      </w:tr>
      <w:tr w:rsidR="00B60E12" w14:paraId="736AFEA3" w14:textId="77777777">
        <w:trPr>
          <w:cantSplit/>
          <w:jc w:val="center"/>
        </w:trPr>
        <w:tc>
          <w:tcPr>
            <w:tcW w:w="1531" w:type="dxa"/>
            <w:tcBorders>
              <w:top w:val="single" w:sz="4" w:space="0" w:color="D9D9D9"/>
              <w:left w:val="single" w:sz="4" w:space="0" w:color="D9D9D9"/>
              <w:bottom w:val="single" w:sz="4" w:space="0" w:color="D9D9D9"/>
              <w:right w:val="single" w:sz="4" w:space="0" w:color="D9D9D9"/>
            </w:tcBorders>
            <w:vAlign w:val="center"/>
          </w:tcPr>
          <w:p w14:paraId="5788745A" w14:textId="77777777" w:rsidR="00B60E12" w:rsidRDefault="009E575D">
            <w:pPr>
              <w:spacing w:before="20" w:after="20" w:line="280" w:lineRule="exact"/>
              <w:ind w:firstLine="0" w:firstLineChars="0"/>
              <w:jc w:val="left"/>
            </w:pPr>
            <w:r>
              <w:rPr>
                <w:sz w:val="19"/>
                <w:rFonts w:ascii="Times New Roman" w:hAnsi="Times New Roman" w:cs="Times New Roman" w:eastAsia="宋体"/>
              </w:rPr>
              <w:t>对象关系</w:t>
            </w:r>
          </w:p>
        </w:tc>
        <w:tc>
          <w:tcPr>
            <w:tcW w:w="3912" w:type="dxa"/>
            <w:tcBorders>
              <w:top w:val="single" w:sz="4" w:space="0" w:color="D9D9D9"/>
              <w:left w:val="single" w:sz="4" w:space="0" w:color="D9D9D9"/>
              <w:bottom w:val="single" w:sz="4" w:space="0" w:color="D9D9D9"/>
              <w:right w:val="single" w:sz="4" w:space="0" w:color="D9D9D9"/>
            </w:tcBorders>
            <w:vAlign w:val="center"/>
          </w:tcPr>
          <w:p w14:paraId="28E49104" w14:textId="77777777" w:rsidR="00B60E12" w:rsidRDefault="009E575D">
            <w:pPr>
              <w:spacing w:before="20" w:after="20" w:line="280" w:lineRule="exact"/>
              <w:ind w:firstLine="0" w:firstLineChars="0"/>
              <w:jc w:val="left"/>
            </w:pPr>
            <w:r>
              <w:rPr>
                <w:sz w:val="19"/>
                <w:rFonts w:ascii="Times New Roman" w:hAnsi="Times New Roman" w:cs="Times New Roman" w:eastAsia="宋体"/>
              </w:rPr>
              <w:t>本例按独立零件处理，暂未设置装配关系</w:t>
            </w:r>
          </w:p>
        </w:tc>
        <w:tc>
          <w:tcPr>
            <w:tcW w:w="2778" w:type="dxa"/>
            <w:tcBorders>
              <w:top w:val="single" w:sz="4" w:space="0" w:color="D9D9D9"/>
              <w:left w:val="single" w:sz="4" w:space="0" w:color="D9D9D9"/>
              <w:bottom w:val="single" w:sz="4" w:space="0" w:color="D9D9D9"/>
              <w:right w:val="single" w:sz="4" w:space="0" w:color="D9D9D9"/>
            </w:tcBorders>
            <w:vAlign w:val="center"/>
          </w:tcPr>
          <w:p w14:paraId="639C04A4" w14:textId="77777777" w:rsidR="00B60E12" w:rsidRDefault="009E575D">
            <w:pPr>
              <w:spacing w:before="20" w:after="20" w:line="280" w:lineRule="exact"/>
              <w:ind w:firstLine="0" w:firstLineChars="0"/>
              <w:jc w:val="left"/>
            </w:pPr>
            <w:r>
              <w:rPr>
                <w:sz w:val="19"/>
                <w:rFonts w:ascii="Times New Roman" w:hAnsi="Times New Roman" w:cs="Times New Roman" w:eastAsia="宋体"/>
              </w:rPr>
              <w:t>实际任务中还需记录有关连接与归属</w:t>
            </w:r>
          </w:p>
        </w:tc>
      </w:tr>
      <w:tr w:rsidR="00B60E12" w14:paraId="5F307DF6" w14:textId="77777777">
        <w:trPr>
          <w:cantSplit/>
          <w:jc w:val="center"/>
        </w:trPr>
        <w:tc>
          <w:tcPr>
            <w:tcW w:w="1531" w:type="dxa"/>
            <w:tcBorders>
              <w:top w:val="single" w:sz="4" w:space="0" w:color="D9D9D9"/>
              <w:left w:val="single" w:sz="4" w:space="0" w:color="D9D9D9"/>
              <w:bottom w:val="single" w:sz="4" w:space="0" w:color="D9D9D9"/>
              <w:right w:val="single" w:sz="4" w:space="0" w:color="D9D9D9"/>
            </w:tcBorders>
            <w:vAlign w:val="center"/>
          </w:tcPr>
          <w:p w14:paraId="6AB7A51B" w14:textId="77777777" w:rsidR="00B60E12" w:rsidRDefault="009E575D">
            <w:pPr>
              <w:spacing w:before="20" w:after="20" w:line="280" w:lineRule="exact"/>
              <w:ind w:firstLine="0" w:firstLineChars="0"/>
              <w:jc w:val="left"/>
            </w:pPr>
            <w:r>
              <w:rPr>
                <w:sz w:val="19"/>
                <w:rFonts w:ascii="Times New Roman" w:hAnsi="Times New Roman" w:cs="Times New Roman" w:eastAsia="宋体"/>
              </w:rPr>
              <w:t>版本与来源</w:t>
            </w:r>
          </w:p>
        </w:tc>
        <w:tc>
          <w:tcPr>
            <w:tcW w:w="3912" w:type="dxa"/>
            <w:tcBorders>
              <w:top w:val="single" w:sz="4" w:space="0" w:color="D9D9D9"/>
              <w:left w:val="single" w:sz="4" w:space="0" w:color="D9D9D9"/>
              <w:bottom w:val="single" w:sz="4" w:space="0" w:color="D9D9D9"/>
              <w:right w:val="single" w:sz="4" w:space="0" w:color="D9D9D9"/>
            </w:tcBorders>
            <w:vAlign w:val="center"/>
          </w:tcPr>
          <w:p w14:paraId="2245DA3F" w14:textId="77777777" w:rsidR="00B60E12" w:rsidRDefault="009E575D">
            <w:pPr>
              <w:spacing w:before="20" w:after="20" w:line="280" w:lineRule="exact"/>
              <w:ind w:firstLine="0" w:firstLineChars="0"/>
              <w:jc w:val="left"/>
            </w:pPr>
            <w:r>
              <w:rPr>
                <w:sz w:val="19"/>
                <w:rFonts w:ascii="Times New Roman" w:hAnsi="Times New Roman" w:cs="Times New Roman" w:eastAsia="宋体"/>
              </w:rPr>
              <w:t>版本</w:t>
            </w:r>
            <w:r>
              <w:rPr>
                <w:sz w:val="19"/>
                <w:rFonts w:ascii="Times New Roman" w:hAnsi="Times New Roman" w:cs="Times New Roman" w:eastAsia="宋体"/>
              </w:rPr>
              <w:t>V1</w:t>
            </w:r>
            <w:r>
              <w:rPr>
                <w:sz w:val="19"/>
                <w:rFonts w:ascii="Times New Roman" w:hAnsi="Times New Roman" w:cs="Times New Roman" w:eastAsia="宋体"/>
              </w:rPr>
              <w:t>；依据本章例题条件建立</w:t>
            </w:r>
          </w:p>
        </w:tc>
        <w:tc>
          <w:tcPr>
            <w:tcW w:w="2778" w:type="dxa"/>
            <w:tcBorders>
              <w:top w:val="single" w:sz="4" w:space="0" w:color="D9D9D9"/>
              <w:left w:val="single" w:sz="4" w:space="0" w:color="D9D9D9"/>
              <w:bottom w:val="single" w:sz="4" w:space="0" w:color="D9D9D9"/>
              <w:right w:val="single" w:sz="4" w:space="0" w:color="D9D9D9"/>
            </w:tcBorders>
            <w:vAlign w:val="center"/>
          </w:tcPr>
          <w:p w14:paraId="6CD269C4" w14:textId="77777777" w:rsidR="00B60E12" w:rsidRDefault="009E575D">
            <w:pPr>
              <w:spacing w:before="20" w:after="20" w:line="280" w:lineRule="exact"/>
              <w:ind w:firstLine="0" w:firstLineChars="0"/>
              <w:jc w:val="left"/>
            </w:pPr>
            <w:r>
              <w:rPr>
                <w:sz w:val="19"/>
                <w:rFonts w:ascii="Times New Roman" w:hAnsi="Times New Roman" w:cs="Times New Roman" w:eastAsia="宋体"/>
              </w:rPr>
              <w:t>修改后应更新关联成果</w:t>
            </w:r>
          </w:p>
        </w:tc>
      </w:tr>
    </w:tbl>
    <w:p w14:paraId="625D26A6" w14:textId="77777777" w:rsidR="00B60E12" w:rsidRDefault="00B60E12">
      <w:pPr>
        <w:spacing w:line="80" w:lineRule="exact"/>
      </w:pPr>
    </w:p>
    <w:p w14:paraId="2AA097CE" w14:textId="77777777" w:rsidR="00B60E12" w:rsidRDefault="009E575D">
      <w:pPr/>
      <w:r>
        <w:lastRenderedPageBreak/>
        <w:t>模型应包含多少信息，取决于具体用途。形体认识练习可以只记录少量属性；实际设计、施工或运维任务所需的信息更为具体。信息应有相应依据，不宜用猜测补齐未知材料或技术参数。</w:t>
      </w:r>
    </w:p>
    <w:p w14:paraId="6DEC8A15" w14:textId="77777777" w:rsidR="00B60E12" w:rsidRDefault="009E575D">
      <w:pPr>
        <w:pStyle w:val="Resource"/>
      </w:pPr>
      <w:r>
        <w:t>配套资源</w:t>
      </w:r>
      <w:r>
        <w:t xml:space="preserve"> R1-05</w:t>
      </w:r>
      <w:r>
        <w:t xml:space="preserve">　几何与属性</w:t>
      </w:r>
    </w:p>
    <w:p w14:paraId="267A3613" w14:textId="77777777" w:rsidR="00B60E12" w:rsidRDefault="009E575D">
      <w:pPr>
        <w:pStyle w:val="4"/>
      </w:pPr>
      <w:r>
        <w:t xml:space="preserve">1.4.2 </w:t>
      </w:r>
      <w:r>
        <w:t>建筑信息模型及其适用范围</w:t>
      </w:r>
    </w:p>
    <w:p w14:paraId="397946DA" w14:textId="77777777" w:rsidR="00B60E12" w:rsidRDefault="009E575D">
      <w:pPr/>
      <w:r>
        <w:t>BIM</w:t>
      </w:r>
      <w:r>
        <w:t>是</w:t>
      </w:r>
      <w:r>
        <w:t>building information model</w:t>
      </w:r>
      <w:r>
        <w:t>或</w:t>
      </w:r>
      <w:r>
        <w:t>building information modeling</w:t>
      </w:r>
      <w:r>
        <w:t>的缩写，通常分别指建筑信息模型及其建模、应用过程。</w:t>
      </w:r>
      <w:r>
        <w:t>GB/T 51212—2016</w:t>
      </w:r>
      <w:r>
        <w:t>将相关概念置于建设工程及设施全生命期的信息表达与应用背景中理解。</w:t>
      </w:r>
      <w:r>
        <w:rPr>
          <w:sz w:val="15"/>
          <w:vertAlign w:val="superscript"/>
        </w:rPr>
        <w:t>[15]</w:t>
      </w:r>
      <w:r>
        <w:t>对初学者，可以先从</w:t>
      </w:r>
      <w:r>
        <w:t>“</w:t>
      </w:r>
      <w:r>
        <w:t>有专业含义的对象</w:t>
      </w:r>
      <w:r>
        <w:t>”</w:t>
      </w:r>
      <w:r>
        <w:t>认识</w:t>
      </w:r>
      <w:r>
        <w:t>BIM</w:t>
      </w:r>
      <w:r>
        <w:t>：柱具有截面与高度，也有类别、材料和楼层归属；这些信息可共同服务于图样生成、统计和专业协作。</w:t>
      </w:r>
    </w:p>
    <w:p w14:paraId="7C9FEBC3" w14:textId="77777777" w:rsidR="00B60E12" w:rsidRDefault="009E575D">
      <w:pPr/>
      <w:r>
        <w:t>在建筑类图学学习中，可以通过构件模型观察空间结构，再从模型形成平面图、立面图和剖面图，使投影知识、形体分析与专业图样相互联系。</w:t>
      </w:r>
      <w:r>
        <w:rPr>
          <w:sz w:val="15"/>
          <w:vertAlign w:val="superscript"/>
        </w:rPr>
        <w:t>[6]</w:t>
      </w:r>
      <w:r>
        <w:t>模型生成视图后，仍需根据用途选择表达内容，并完成必要的标注与说明。</w:t>
      </w:r>
    </w:p>
    <w:p w14:paraId="1E249E7D" w14:textId="77777777" w:rsidR="00B60E12" w:rsidRDefault="009E575D">
      <w:pPr/>
      <w:r>
        <w:t>信息交换也是模型应用的重要环节。</w:t>
      </w:r>
      <w:r>
        <w:t>IFC</w:t>
      </w:r>
      <w:r>
        <w:t>是建筑与设施信息交换中使用的开放数据标准，为工程对象及有关信息提供共同的表达规则。</w:t>
      </w:r>
      <w:r>
        <w:rPr>
          <w:sz w:val="15"/>
          <w:vertAlign w:val="superscript"/>
        </w:rPr>
        <w:t>[17]</w:t>
      </w:r>
      <w:r>
        <w:t>采用相同的交换格式，有助于不同软件之间传递数据；具体交换后仍应核对几何、单位、属性和关系，不能仅凭文件成功导入就判断内容完整。</w:t>
      </w:r>
    </w:p>
    <w:p w14:paraId="7DE0E49E" w14:textId="77777777" w:rsidR="00B60E12" w:rsidRDefault="009E575D">
      <w:pPr>
        <w:pStyle w:val="4"/>
      </w:pPr>
      <w:r>
        <w:t xml:space="preserve">1.4.3 </w:t>
      </w:r>
      <w:r>
        <w:t>建模软件分类与适用场景</w:t>
      </w:r>
    </w:p>
    <w:p w14:paraId="37AF7EFB" w14:textId="77777777" w:rsidR="00B60E12" w:rsidRDefault="009E575D">
      <w:pPr/>
      <w:r>
        <w:t>选择软件，应从对象和任务出发。不同工具可能具有相互交叉的功能，表</w:t>
      </w:r>
      <w:r>
        <w:t>1-4</w:t>
      </w:r>
      <w:r>
        <w:t>按主要用途作入门分类。</w:t>
      </w:r>
    </w:p>
    <w:p w14:paraId="62A72724" w14:textId="77777777" w:rsidR="00B60E12" w:rsidRDefault="009E575D">
      <w:pPr>
        <w:pStyle w:val="af7"/>
        <w:keepNext/>
      </w:pPr>
      <w:r>
        <w:t>表</w:t>
      </w:r>
      <w:r>
        <w:t xml:space="preserve">1-4 </w:t>
      </w:r>
      <w:r>
        <w:t>常见工具类别与主要用途</w:t>
      </w:r>
    </w:p>
    <w:tbl>
      <w:tblPr>
        <w:tblW w:w="0" w:type="auto"/>
        <w:jc w:val="center"/>
        <w:tblLayout w:type="fixed"/>
        <w:tblCellMar>
          <w:top w:w="55" w:type="dxa"/>
          <w:left w:w="75" w:type="dxa"/>
          <w:bottom w:w="55" w:type="dxa"/>
          <w:right w:w="75" w:type="dxa"/>
        </w:tblCellMar>
        <w:tblLook w:val="04A0" w:firstRow="1" w:lastRow="0" w:firstColumn="1" w:lastColumn="0" w:noHBand="0" w:noVBand="1"/>
      </w:tblPr>
      <w:tblGrid>
        <w:gridCol w:w="2324"/>
        <w:gridCol w:w="3742"/>
        <w:gridCol w:w="2154"/>
      </w:tblGrid>
      <w:tr w:rsidR="00B60E12" w14:paraId="18B4E2DA" w14:textId="77777777">
        <w:trPr>
          <w:cantSplit/>
          <w:tblHeader/>
          <w:jc w:val="center"/>
        </w:trPr>
        <w:tc>
          <w:tcPr>
            <w:tcW w:w="232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4195869D"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工具类别</w:t>
            </w:r>
          </w:p>
        </w:tc>
        <w:tc>
          <w:tcPr>
            <w:tcW w:w="3742"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205A1C83"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主要用途</w:t>
            </w:r>
          </w:p>
        </w:tc>
        <w:tc>
          <w:tcPr>
            <w:tcW w:w="2154" w:type="dxa"/>
            <w:tcBorders>
              <w:top w:val="single" w:sz="4" w:space="0" w:color="D9D9D9"/>
              <w:left w:val="single" w:sz="4" w:space="0" w:color="D9D9D9"/>
              <w:bottom w:val="single" w:sz="4" w:space="0" w:color="D9D9D9"/>
              <w:right w:val="single" w:sz="4" w:space="0" w:color="D9D9D9"/>
            </w:tcBorders>
            <w:shd w:val="clear" w:color="auto" w:fill="EEEEEE"/>
            <w:vAlign w:val="center"/>
          </w:tcPr>
          <w:p w14:paraId="3C04A183" w14:textId="77777777" w:rsidR="00B60E12" w:rsidRDefault="009E575D">
            <w:pPr>
              <w:keepNext/>
              <w:spacing w:before="20" w:after="20" w:line="280" w:lineRule="exact"/>
              <w:ind w:firstLine="0" w:firstLineChars="0"/>
              <w:jc w:val="center"/>
            </w:pPr>
            <w:r>
              <w:rPr>
                <w:b/>
                <w:sz w:val="19"/>
                <w:rFonts w:ascii="Times New Roman" w:hAnsi="Times New Roman" w:cs="Times New Roman" w:eastAsia="宋体"/>
              </w:rPr>
              <w:t>典型学习对象</w:t>
            </w:r>
          </w:p>
        </w:tc>
      </w:tr>
      <w:tr w:rsidR="00B60E12" w14:paraId="3BD7F81A"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vAlign w:val="center"/>
          </w:tcPr>
          <w:p w14:paraId="6E6F8AE0" w14:textId="77777777" w:rsidR="00B60E12" w:rsidRDefault="009E575D">
            <w:pPr>
              <w:spacing w:before="20" w:after="20" w:line="280" w:lineRule="exact"/>
              <w:ind w:firstLine="0" w:firstLineChars="0"/>
              <w:jc w:val="left"/>
            </w:pPr>
            <w:r>
              <w:rPr>
                <w:sz w:val="19"/>
                <w:rFonts w:ascii="Times New Roman" w:hAnsi="Times New Roman" w:cs="Times New Roman" w:eastAsia="宋体"/>
              </w:rPr>
              <w:t>二维</w:t>
            </w:r>
            <w:r>
              <w:rPr>
                <w:sz w:val="19"/>
                <w:rFonts w:ascii="Times New Roman" w:hAnsi="Times New Roman" w:cs="Times New Roman" w:eastAsia="宋体"/>
              </w:rPr>
              <w:t>CAD</w:t>
            </w:r>
            <w:r>
              <w:rPr>
                <w:sz w:val="19"/>
                <w:rFonts w:ascii="Times New Roman" w:hAnsi="Times New Roman" w:cs="Times New Roman" w:eastAsia="宋体"/>
              </w:rPr>
              <w:t>工具</w:t>
            </w:r>
          </w:p>
        </w:tc>
        <w:tc>
          <w:tcPr>
            <w:tcW w:w="3742" w:type="dxa"/>
            <w:tcBorders>
              <w:top w:val="single" w:sz="4" w:space="0" w:color="D9D9D9"/>
              <w:left w:val="single" w:sz="4" w:space="0" w:color="D9D9D9"/>
              <w:bottom w:val="single" w:sz="4" w:space="0" w:color="D9D9D9"/>
              <w:right w:val="single" w:sz="4" w:space="0" w:color="D9D9D9"/>
            </w:tcBorders>
            <w:vAlign w:val="center"/>
          </w:tcPr>
          <w:p w14:paraId="482FB0BB" w14:textId="77777777" w:rsidR="00B60E12" w:rsidRDefault="009E575D">
            <w:pPr>
              <w:spacing w:before="20" w:after="20" w:line="280" w:lineRule="exact"/>
              <w:ind w:firstLine="0" w:firstLineChars="0"/>
              <w:jc w:val="left"/>
            </w:pPr>
            <w:r>
              <w:rPr>
                <w:sz w:val="19"/>
                <w:rFonts w:ascii="Times New Roman" w:hAnsi="Times New Roman" w:cs="Times New Roman" w:eastAsia="宋体"/>
              </w:rPr>
              <w:t>绘制与编辑视图、尺寸、图块和文字</w:t>
            </w:r>
          </w:p>
        </w:tc>
        <w:tc>
          <w:tcPr>
            <w:tcW w:w="2154" w:type="dxa"/>
            <w:tcBorders>
              <w:top w:val="single" w:sz="4" w:space="0" w:color="D9D9D9"/>
              <w:left w:val="single" w:sz="4" w:space="0" w:color="D9D9D9"/>
              <w:bottom w:val="single" w:sz="4" w:space="0" w:color="D9D9D9"/>
              <w:right w:val="single" w:sz="4" w:space="0" w:color="D9D9D9"/>
            </w:tcBorders>
            <w:vAlign w:val="center"/>
          </w:tcPr>
          <w:p w14:paraId="689BCB6D" w14:textId="77777777" w:rsidR="00B60E12" w:rsidRDefault="009E575D">
            <w:pPr>
              <w:spacing w:before="20" w:after="20" w:line="280" w:lineRule="exact"/>
              <w:ind w:firstLine="0" w:firstLineChars="0"/>
              <w:jc w:val="left"/>
            </w:pPr>
            <w:r>
              <w:rPr>
                <w:sz w:val="19"/>
                <w:rFonts w:ascii="Times New Roman" w:hAnsi="Times New Roman" w:cs="Times New Roman" w:eastAsia="宋体"/>
              </w:rPr>
              <w:t>零件图、构件图、平面布置图</w:t>
            </w:r>
          </w:p>
        </w:tc>
      </w:tr>
      <w:tr w:rsidR="00B60E12" w14:paraId="39998EBD"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vAlign w:val="center"/>
          </w:tcPr>
          <w:p w14:paraId="6755DFAD" w14:textId="77777777" w:rsidR="00B60E12" w:rsidRDefault="009E575D">
            <w:pPr>
              <w:spacing w:before="20" w:after="20" w:line="280" w:lineRule="exact"/>
              <w:ind w:firstLine="0" w:firstLineChars="0"/>
              <w:jc w:val="left"/>
            </w:pPr>
            <w:r>
              <w:rPr>
                <w:sz w:val="19"/>
                <w:rFonts w:ascii="Times New Roman" w:hAnsi="Times New Roman" w:cs="Times New Roman" w:eastAsia="宋体"/>
              </w:rPr>
              <w:t>参数化实体建模工具</w:t>
            </w:r>
          </w:p>
        </w:tc>
        <w:tc>
          <w:tcPr>
            <w:tcW w:w="3742" w:type="dxa"/>
            <w:tcBorders>
              <w:top w:val="single" w:sz="4" w:space="0" w:color="D9D9D9"/>
              <w:left w:val="single" w:sz="4" w:space="0" w:color="D9D9D9"/>
              <w:bottom w:val="single" w:sz="4" w:space="0" w:color="D9D9D9"/>
              <w:right w:val="single" w:sz="4" w:space="0" w:color="D9D9D9"/>
            </w:tcBorders>
            <w:vAlign w:val="center"/>
          </w:tcPr>
          <w:p w14:paraId="6472CEB4" w14:textId="77777777" w:rsidR="00B60E12" w:rsidRDefault="009E575D">
            <w:pPr>
              <w:spacing w:before="20" w:after="20" w:line="280" w:lineRule="exact"/>
              <w:ind w:firstLine="0" w:firstLineChars="0"/>
              <w:jc w:val="left"/>
            </w:pPr>
            <w:r>
              <w:rPr>
                <w:sz w:val="19"/>
                <w:rFonts w:ascii="Times New Roman" w:hAnsi="Times New Roman" w:cs="Times New Roman" w:eastAsia="宋体"/>
              </w:rPr>
              <w:t>通过参数、约束和特征建立模型</w:t>
            </w:r>
          </w:p>
        </w:tc>
        <w:tc>
          <w:tcPr>
            <w:tcW w:w="2154" w:type="dxa"/>
            <w:tcBorders>
              <w:top w:val="single" w:sz="4" w:space="0" w:color="D9D9D9"/>
              <w:left w:val="single" w:sz="4" w:space="0" w:color="D9D9D9"/>
              <w:bottom w:val="single" w:sz="4" w:space="0" w:color="D9D9D9"/>
              <w:right w:val="single" w:sz="4" w:space="0" w:color="D9D9D9"/>
            </w:tcBorders>
            <w:vAlign w:val="center"/>
          </w:tcPr>
          <w:p w14:paraId="2370CDF2" w14:textId="77777777" w:rsidR="00B60E12" w:rsidRDefault="009E575D">
            <w:pPr>
              <w:spacing w:before="20" w:after="20" w:line="280" w:lineRule="exact"/>
              <w:ind w:firstLine="0" w:firstLineChars="0"/>
              <w:jc w:val="left"/>
            </w:pPr>
            <w:r>
              <w:rPr>
                <w:sz w:val="19"/>
                <w:rFonts w:ascii="Times New Roman" w:hAnsi="Times New Roman" w:cs="Times New Roman" w:eastAsia="宋体"/>
              </w:rPr>
              <w:t>机械零件及装配体</w:t>
            </w:r>
          </w:p>
        </w:tc>
      </w:tr>
      <w:tr w:rsidR="00B60E12" w14:paraId="7DC604C7"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vAlign w:val="center"/>
          </w:tcPr>
          <w:p w14:paraId="5305A99F" w14:textId="77777777" w:rsidR="00B60E12" w:rsidRDefault="009E575D">
            <w:pPr>
              <w:spacing w:before="20" w:after="20" w:line="280" w:lineRule="exact"/>
              <w:ind w:firstLine="0" w:firstLineChars="0"/>
              <w:jc w:val="left"/>
            </w:pPr>
            <w:r>
              <w:rPr>
                <w:sz w:val="19"/>
                <w:rFonts w:ascii="Times New Roman" w:hAnsi="Times New Roman" w:cs="Times New Roman" w:eastAsia="宋体"/>
              </w:rPr>
              <w:t>曲面建模工具</w:t>
            </w:r>
          </w:p>
        </w:tc>
        <w:tc>
          <w:tcPr>
            <w:tcW w:w="3742" w:type="dxa"/>
            <w:tcBorders>
              <w:top w:val="single" w:sz="4" w:space="0" w:color="D9D9D9"/>
              <w:left w:val="single" w:sz="4" w:space="0" w:color="D9D9D9"/>
              <w:bottom w:val="single" w:sz="4" w:space="0" w:color="D9D9D9"/>
              <w:right w:val="single" w:sz="4" w:space="0" w:color="D9D9D9"/>
            </w:tcBorders>
            <w:vAlign w:val="center"/>
          </w:tcPr>
          <w:p w14:paraId="1B49251C" w14:textId="77777777" w:rsidR="00B60E12" w:rsidRDefault="009E575D">
            <w:pPr>
              <w:spacing w:before="20" w:after="20" w:line="280" w:lineRule="exact"/>
              <w:ind w:firstLine="0" w:firstLineChars="0"/>
              <w:jc w:val="left"/>
            </w:pPr>
            <w:r>
              <w:rPr>
                <w:sz w:val="19"/>
                <w:rFonts w:ascii="Times New Roman" w:hAnsi="Times New Roman" w:cs="Times New Roman" w:eastAsia="宋体"/>
              </w:rPr>
              <w:t>建立曲线、曲面与复杂外形</w:t>
            </w:r>
          </w:p>
        </w:tc>
        <w:tc>
          <w:tcPr>
            <w:tcW w:w="2154" w:type="dxa"/>
            <w:tcBorders>
              <w:top w:val="single" w:sz="4" w:space="0" w:color="D9D9D9"/>
              <w:left w:val="single" w:sz="4" w:space="0" w:color="D9D9D9"/>
              <w:bottom w:val="single" w:sz="4" w:space="0" w:color="D9D9D9"/>
              <w:right w:val="single" w:sz="4" w:space="0" w:color="D9D9D9"/>
            </w:tcBorders>
            <w:vAlign w:val="center"/>
          </w:tcPr>
          <w:p w14:paraId="60216FAC" w14:textId="77777777" w:rsidR="00B60E12" w:rsidRDefault="009E575D">
            <w:pPr>
              <w:spacing w:before="20" w:after="20" w:line="280" w:lineRule="exact"/>
              <w:ind w:firstLine="0" w:firstLineChars="0"/>
              <w:jc w:val="left"/>
            </w:pPr>
            <w:r>
              <w:rPr>
                <w:sz w:val="19"/>
                <w:rFonts w:ascii="Times New Roman" w:hAnsi="Times New Roman" w:cs="Times New Roman" w:eastAsia="宋体"/>
              </w:rPr>
              <w:t>具有曲面外形的产品或构件</w:t>
            </w:r>
          </w:p>
        </w:tc>
      </w:tr>
      <w:tr w:rsidR="00B60E12" w14:paraId="4660C953"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vAlign w:val="center"/>
          </w:tcPr>
          <w:p w14:paraId="30B24AB1" w14:textId="77777777" w:rsidR="00B60E12" w:rsidRDefault="009E575D">
            <w:pPr>
              <w:spacing w:before="20" w:after="20" w:line="280" w:lineRule="exact"/>
              <w:ind w:firstLine="0" w:firstLineChars="0"/>
              <w:jc w:val="left"/>
            </w:pPr>
            <w:r>
              <w:rPr>
                <w:sz w:val="19"/>
                <w:rFonts w:ascii="Times New Roman" w:hAnsi="Times New Roman" w:cs="Times New Roman" w:eastAsia="宋体"/>
              </w:rPr>
              <w:t>面向工程对象的信息建模工具</w:t>
            </w:r>
          </w:p>
        </w:tc>
        <w:tc>
          <w:tcPr>
            <w:tcW w:w="3742" w:type="dxa"/>
            <w:tcBorders>
              <w:top w:val="single" w:sz="4" w:space="0" w:color="D9D9D9"/>
              <w:left w:val="single" w:sz="4" w:space="0" w:color="D9D9D9"/>
              <w:bottom w:val="single" w:sz="4" w:space="0" w:color="D9D9D9"/>
              <w:right w:val="single" w:sz="4" w:space="0" w:color="D9D9D9"/>
            </w:tcBorders>
            <w:vAlign w:val="center"/>
          </w:tcPr>
          <w:p w14:paraId="42E840A4" w14:textId="77777777" w:rsidR="00B60E12" w:rsidRDefault="009E575D">
            <w:pPr>
              <w:spacing w:before="20" w:after="20" w:line="280" w:lineRule="exact"/>
              <w:ind w:firstLine="0" w:firstLineChars="0"/>
              <w:jc w:val="left"/>
            </w:pPr>
            <w:r>
              <w:rPr>
                <w:sz w:val="19"/>
                <w:rFonts w:ascii="Times New Roman" w:hAnsi="Times New Roman" w:cs="Times New Roman" w:eastAsia="宋体"/>
              </w:rPr>
              <w:t>组织专业构件、属性及空间关系</w:t>
            </w:r>
          </w:p>
        </w:tc>
        <w:tc>
          <w:tcPr>
            <w:tcW w:w="2154" w:type="dxa"/>
            <w:tcBorders>
              <w:top w:val="single" w:sz="4" w:space="0" w:color="D9D9D9"/>
              <w:left w:val="single" w:sz="4" w:space="0" w:color="D9D9D9"/>
              <w:bottom w:val="single" w:sz="4" w:space="0" w:color="D9D9D9"/>
              <w:right w:val="single" w:sz="4" w:space="0" w:color="D9D9D9"/>
            </w:tcBorders>
            <w:vAlign w:val="center"/>
          </w:tcPr>
          <w:p w14:paraId="6304B356" w14:textId="77777777" w:rsidR="00B60E12" w:rsidRDefault="009E575D">
            <w:pPr>
              <w:spacing w:before="20" w:after="20" w:line="280" w:lineRule="exact"/>
              <w:ind w:firstLine="0" w:firstLineChars="0"/>
              <w:jc w:val="left"/>
            </w:pPr>
            <w:r>
              <w:rPr>
                <w:sz w:val="19"/>
                <w:rFonts w:ascii="Times New Roman" w:hAnsi="Times New Roman" w:cs="Times New Roman" w:eastAsia="宋体"/>
              </w:rPr>
              <w:t>柱、梁、基础及建筑工程模型</w:t>
            </w:r>
          </w:p>
        </w:tc>
      </w:tr>
      <w:tr w:rsidR="00B60E12" w14:paraId="5953BAAC" w14:textId="77777777">
        <w:trPr>
          <w:cantSplit/>
          <w:jc w:val="center"/>
        </w:trPr>
        <w:tc>
          <w:tcPr>
            <w:tcW w:w="2324" w:type="dxa"/>
            <w:tcBorders>
              <w:top w:val="single" w:sz="4" w:space="0" w:color="D9D9D9"/>
              <w:left w:val="single" w:sz="4" w:space="0" w:color="D9D9D9"/>
              <w:bottom w:val="single" w:sz="4" w:space="0" w:color="D9D9D9"/>
              <w:right w:val="single" w:sz="4" w:space="0" w:color="D9D9D9"/>
            </w:tcBorders>
            <w:vAlign w:val="center"/>
          </w:tcPr>
          <w:p w14:paraId="0A186240" w14:textId="77777777" w:rsidR="00B60E12" w:rsidRDefault="009E575D">
            <w:pPr>
              <w:spacing w:before="20" w:after="20" w:line="280" w:lineRule="exact"/>
              <w:ind w:firstLine="0" w:firstLineChars="0"/>
              <w:jc w:val="left"/>
            </w:pPr>
            <w:r>
              <w:rPr>
                <w:sz w:val="19"/>
                <w:rFonts w:ascii="Times New Roman" w:hAnsi="Times New Roman" w:cs="Times New Roman" w:eastAsia="宋体"/>
              </w:rPr>
              <w:t>场地与地形建模工具</w:t>
            </w:r>
          </w:p>
        </w:tc>
        <w:tc>
          <w:tcPr>
            <w:tcW w:w="3742" w:type="dxa"/>
            <w:tcBorders>
              <w:top w:val="single" w:sz="4" w:space="0" w:color="D9D9D9"/>
              <w:left w:val="single" w:sz="4" w:space="0" w:color="D9D9D9"/>
              <w:bottom w:val="single" w:sz="4" w:space="0" w:color="D9D9D9"/>
              <w:right w:val="single" w:sz="4" w:space="0" w:color="D9D9D9"/>
            </w:tcBorders>
            <w:vAlign w:val="center"/>
          </w:tcPr>
          <w:p w14:paraId="647DF6B5" w14:textId="77777777" w:rsidR="00B60E12" w:rsidRDefault="009E575D">
            <w:pPr>
              <w:spacing w:before="20" w:after="20" w:line="280" w:lineRule="exact"/>
              <w:ind w:firstLine="0" w:firstLineChars="0"/>
              <w:jc w:val="left"/>
            </w:pPr>
            <w:r>
              <w:rPr>
                <w:sz w:val="19"/>
                <w:rFonts w:ascii="Times New Roman" w:hAnsi="Times New Roman" w:cs="Times New Roman" w:eastAsia="宋体"/>
              </w:rPr>
              <w:t>表达地形、道路及场地空间信息</w:t>
            </w:r>
          </w:p>
        </w:tc>
        <w:tc>
          <w:tcPr>
            <w:tcW w:w="2154" w:type="dxa"/>
            <w:tcBorders>
              <w:top w:val="single" w:sz="4" w:space="0" w:color="D9D9D9"/>
              <w:left w:val="single" w:sz="4" w:space="0" w:color="D9D9D9"/>
              <w:bottom w:val="single" w:sz="4" w:space="0" w:color="D9D9D9"/>
              <w:right w:val="single" w:sz="4" w:space="0" w:color="D9D9D9"/>
            </w:tcBorders>
            <w:vAlign w:val="center"/>
          </w:tcPr>
          <w:p w14:paraId="4F6E6634" w14:textId="77777777" w:rsidR="00B60E12" w:rsidRDefault="009E575D">
            <w:pPr>
              <w:spacing w:before="20" w:after="20" w:line="280" w:lineRule="exact"/>
              <w:ind w:firstLine="0" w:firstLineChars="0"/>
              <w:jc w:val="left"/>
            </w:pPr>
            <w:r>
              <w:rPr>
                <w:sz w:val="19"/>
                <w:rFonts w:ascii="Times New Roman" w:hAnsi="Times New Roman" w:cs="Times New Roman" w:eastAsia="宋体"/>
              </w:rPr>
              <w:t>场地、地形与工程布置</w:t>
            </w:r>
          </w:p>
        </w:tc>
      </w:tr>
    </w:tbl>
    <w:p w14:paraId="7C2D33E5" w14:textId="77777777" w:rsidR="00B60E12" w:rsidRDefault="00B60E12">
      <w:pPr>
        <w:spacing w:line="80" w:lineRule="exact"/>
      </w:pPr>
    </w:p>
    <w:p w14:paraId="6D2CC91B" w14:textId="77777777" w:rsidR="00B60E12" w:rsidRDefault="009E575D">
      <w:pPr/>
      <w:r>
        <w:t>例如，研究法兰的孔径及装配关系，可选择适合零件与装配表达的工具；组织厂房柱、梁及其楼层关系，可选择相应的工程信息建模工具。学习初期应围绕一种工具完成基本任务，并理解其模型表达方式，逐步积累可以迁移到其他工具的几何分析与建模方法。</w:t>
      </w:r>
    </w:p>
    <w:p w14:paraId="6A2C06D2" w14:textId="77777777" w:rsidR="00B60E12" w:rsidRDefault="009E575D">
      <w:pPr>
        <w:pStyle w:val="4"/>
      </w:pPr>
      <w:r>
        <w:lastRenderedPageBreak/>
        <w:t>1.4.4 AI</w:t>
      </w:r>
      <w:r>
        <w:t>辅助学习</w:t>
      </w:r>
    </w:p>
    <w:p w14:paraId="360E836D" w14:textId="77777777" w:rsidR="00B60E12" w:rsidRDefault="009E575D">
      <w:pPr/>
      <w:r>
        <w:t>AI</w:t>
      </w:r>
      <w:r>
        <w:t>工具可辅助解释术语、提出观察问题、整理属性表或检查文字说明。使用时宜给出明确对象和条件，例如要求它根据底座的已知尺寸，列出建模需要考虑的参数，再与自己的分析比较。</w:t>
      </w:r>
    </w:p>
    <w:p w14:paraId="65D4BDF8" w14:textId="77777777" w:rsidR="00B60E12" w:rsidRDefault="009E575D">
      <w:pPr/>
      <w:r>
        <w:t>AI</w:t>
      </w:r>
      <w:r>
        <w:t>的回答仍需依据教材、图样和标准核对。涉及形体的判断，应通过视图或模型检查；涉及技术参数的判断，应回到原始条件。学习者应能独立说明最终图样和模型的含义，并保留自己的分析过程。</w:t>
      </w:r>
    </w:p>
    <w:p w14:paraId="2D88B6FA" w14:textId="77777777" w:rsidR="00B60E12" w:rsidRDefault="009E575D">
      <w:pPr>
        <w:pStyle w:val="31"/>
      </w:pPr>
      <w:r>
        <w:t xml:space="preserve">1.5 </w:t>
      </w:r>
      <w:r>
        <w:t>大国工程案例与工程责任</w:t>
      </w:r>
    </w:p>
    <w:p w14:paraId="70E04D2A" w14:textId="77777777" w:rsidR="00B60E12" w:rsidRDefault="009E575D">
      <w:pPr>
        <w:pStyle w:val="4"/>
      </w:pPr>
      <w:r>
        <w:t xml:space="preserve">1.5.1 </w:t>
      </w:r>
      <w:r>
        <w:t>从大国工程认识专业协作</w:t>
      </w:r>
    </w:p>
    <w:p w14:paraId="67FD34DF" w14:textId="77777777" w:rsidR="00B60E12" w:rsidRDefault="009E575D">
      <w:pPr/>
      <w:r>
        <w:t>大型工程由众多构件、系统和专业共同组成。工程图样与模型把不同岗位的工作联系起来，使设计构思能够逐步转化为具体产品和工程设施。认识大国工程，应联系其组成与建造过程，理解技术积累、专业协作和严谨表达的作用。</w:t>
      </w:r>
    </w:p>
    <w:p w14:paraId="77E24F83" w14:textId="77777777" w:rsidR="00B60E12" w:rsidRDefault="009E575D">
      <w:pPr/>
      <w:r>
        <w:t>重型装备方面，国产盾构机</w:t>
      </w:r>
      <w:r>
        <w:t>“</w:t>
      </w:r>
      <w:r>
        <w:t>京华号</w:t>
      </w:r>
      <w:r>
        <w:t>”</w:t>
      </w:r>
      <w:r>
        <w:t>的刀盘制造与组装涉及面板、刀具、连接及装配等对象。</w:t>
      </w:r>
      <w:r>
        <w:rPr>
          <w:sz w:val="15"/>
          <w:vertAlign w:val="superscript"/>
        </w:rPr>
        <w:t>[18]</w:t>
      </w:r>
      <w:r>
        <w:t>从整体装备转向其中一个零件，可以体会总装关系、零件结构和加工要求需要不同层次的图样表达。准确的编号和装配信息，是不同人员理解同一对象的基础。</w:t>
      </w:r>
    </w:p>
    <w:p w14:paraId="40114223" w14:textId="77777777" w:rsidR="00B60E12" w:rsidRDefault="009E575D">
      <w:pPr/>
      <w:r>
        <w:t>水利枢纽方面，三峡枢纽包括挡水、泄水、发电和通航等不同功能的工程设施。</w:t>
      </w:r>
      <w:r>
        <w:rPr>
          <w:sz w:val="15"/>
          <w:vertAlign w:val="superscript"/>
        </w:rPr>
        <w:t>[19]</w:t>
      </w:r>
      <w:r>
        <w:t>理解这些设施，需要把总体布置、局部结构和水流方向联系起来。一个闸墩或一根厂房柱的几何形状，只有放在其所处工程环境中，才能进一步理解其功能与位置。</w:t>
      </w:r>
    </w:p>
    <w:p w14:paraId="712301C4" w14:textId="77777777" w:rsidR="00B60E12" w:rsidRDefault="009E575D">
      <w:pPr/>
      <w:r>
        <w:t>电力工程方面，海南</w:t>
      </w:r>
      <w:r>
        <w:t>500 kV</w:t>
      </w:r>
      <w:r>
        <w:t>昌化变电站是海南</w:t>
      </w:r>
      <w:r>
        <w:t>500 kV</w:t>
      </w:r>
      <w:r>
        <w:t>主网架工程的组成部分。</w:t>
      </w:r>
      <w:r>
        <w:rPr>
          <w:sz w:val="15"/>
          <w:vertAlign w:val="superscript"/>
        </w:rPr>
        <w:t>[20]</w:t>
      </w:r>
      <w:r>
        <w:t>500 kV</w:t>
      </w:r>
      <w:r>
        <w:t>交流工程属于超高压范畴，应与</w:t>
      </w:r>
      <w:r>
        <w:t>1000 kV</w:t>
      </w:r>
      <w:r>
        <w:t>交流特高压工程区分。</w:t>
      </w:r>
      <w:r>
        <w:rPr>
          <w:sz w:val="15"/>
          <w:vertAlign w:val="superscript"/>
        </w:rPr>
        <w:t>[21]</w:t>
      </w:r>
      <w:r>
        <w:t>站内设备、基础、支架和电缆沟等对象需要在空间上协调布置，土建与电气等专业的图样也需相互配合。</w:t>
      </w:r>
    </w:p>
    <w:p w14:paraId="6707C03A" w14:textId="77777777" w:rsidR="00B60E12" w:rsidRDefault="009E575D">
      <w:pPr/>
      <w:r>
        <w:t>桥梁工程方面，港珠澳大桥主桥采用桥梁、人工岛和海底隧道相结合的形式。</w:t>
      </w:r>
      <w:r>
        <w:rPr>
          <w:sz w:val="15"/>
          <w:vertAlign w:val="superscript"/>
        </w:rPr>
        <w:t>[22]</w:t>
      </w:r>
      <w:r>
        <w:t>从总体路线到桥墩、桥面及连接部位，可以认识总体表达与局部表达的层次。复杂工程的准确表达，需要把每一个局部放回整体关系中理解。</w:t>
      </w:r>
    </w:p>
    <w:p w14:paraId="2F664D02" w14:textId="77777777" w:rsidR="00B60E12" w:rsidRDefault="009E575D">
      <w:pPr>
        <w:pStyle w:val="4"/>
      </w:pPr>
      <w:r>
        <w:t xml:space="preserve">1.5.2 </w:t>
      </w:r>
      <w:r>
        <w:t>将工程责任落实到学习实践</w:t>
      </w:r>
    </w:p>
    <w:p w14:paraId="02A51AB3" w14:textId="77777777" w:rsidR="00B60E12" w:rsidRDefault="009E575D">
      <w:pPr/>
      <w:r>
        <w:t>学习大国工程，既要认识我国工程建设与装备制造的发展，也要理解成就背后的专业基础和工作要求。落实到本课程，就是认真学习投影理论，准确表达尺寸与构造，遵守制图规则，并尊重不同专业之间的协作关系。</w:t>
      </w:r>
    </w:p>
    <w:p w14:paraId="12FDF7C2" w14:textId="77777777" w:rsidR="00B60E12" w:rsidRDefault="009E575D">
      <w:pPr/>
      <w:r>
        <w:t>工程表达首先应真实。尚未获得的尺寸和材料信息应说明状态，不能把假设写成工程事实。修改孔位时应检查相关视图，修改构件编号时应检查属性表与图纸索引，提交成果时应说明采用的单位、版本及必要的定位依据。</w:t>
      </w:r>
    </w:p>
    <w:p w14:paraId="34167FD5" w14:textId="77777777" w:rsidR="00B60E12" w:rsidRDefault="009E575D">
      <w:pPr/>
      <w:r>
        <w:lastRenderedPageBreak/>
        <w:t>合作学习中，既要能够清楚说明自己的表达，也要能够依据图样和条件检查他人的成果。通过细致观察、独立思考、规范操作和相互复核，逐步形成认真负责的工作态度。这些习惯是工程职业素养的基础。</w:t>
      </w:r>
    </w:p>
    <w:p w14:paraId="5E32DB41" w14:textId="77777777" w:rsidR="00B60E12" w:rsidRDefault="009E575D">
      <w:pPr>
        <w:pStyle w:val="4"/>
      </w:pPr>
      <w:r>
        <w:t xml:space="preserve">1.5.3 </w:t>
      </w:r>
      <w:r>
        <w:t>四类简单对象的案例预览</w:t>
      </w:r>
    </w:p>
    <w:p w14:paraId="60123463" w14:textId="77777777" w:rsidR="00B60E12" w:rsidRDefault="009E575D">
      <w:pPr/>
      <w:r>
        <w:t>图</w:t>
      </w:r>
      <w:r>
        <w:t>1-3</w:t>
      </w:r>
      <w:r>
        <w:t>以机械法兰、厂房柱、闸墩和变电站设备基础为例，展示不同专业对象的简化形体。四个对象均为教学抽象，不是上述实际工程构件的设计复原。</w:t>
      </w:r>
    </w:p>
    <w:p w14:paraId="3570A9C2" w14:textId="77777777" w:rsidR="00B60E12" w:rsidRDefault="009E575D">
      <w:pPr>
        <w:keepNext/>
        <w:spacing w:before="100" w:line="240" w:lineRule="auto"/>
        <w:ind w:firstLine="0" w:firstLineChars="0"/>
        <w:jc w:val="center"/>
      </w:pPr>
      <w:r>
        <w:rPr>
          <w:noProof/>
        </w:rPr>
        <w:drawing>
          <wp:inline distT="0" distB="0" distL="0" distR="0" wp14:anchorId="175996FD" wp14:editId="63021DA2">
            <wp:extent cx="5220000" cy="3717893"/>
            <wp:effectExtent l="0" t="0" r="0" b="0"/>
            <wp:docPr id="3" name="Picture 3" descr="图1-3 四类工程对象的教学简化示意" title="图1-3 四类工程对象的教学简化示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png"/>
                    <pic:cNvPicPr/>
                  </pic:nvPicPr>
                  <pic:blipFill>
                    <a:blip r:embed="rId10"/>
                    <a:stretch>
                      <a:fillRect/>
                    </a:stretch>
                  </pic:blipFill>
                  <pic:spPr>
                    <a:xfrm>
                      <a:off x="0" y="0"/>
                      <a:ext cx="5220000" cy="3717893"/>
                    </a:xfrm>
                    <a:prstGeom prst="rect">
                      <a:avLst/>
                    </a:prstGeom>
                  </pic:spPr>
                </pic:pic>
              </a:graphicData>
            </a:graphic>
          </wp:inline>
        </w:drawing>
      </w:r>
    </w:p>
    <w:p w14:paraId="3E2D519E" w14:textId="77777777" w:rsidR="00B60E12" w:rsidRDefault="009E575D">
      <w:pPr>
        <w:pStyle w:val="af7"/>
        <w:keepNext/>
      </w:pPr>
      <w:r>
        <w:t>图</w:t>
      </w:r>
      <w:r>
        <w:t xml:space="preserve">1-3 </w:t>
      </w:r>
      <w:r>
        <w:t>四类工程对象的教学简化示意</w:t>
      </w:r>
    </w:p>
    <w:p w14:paraId="6BA0E194" w14:textId="77777777" w:rsidR="00B60E12" w:rsidRDefault="009E575D">
      <w:pPr>
        <w:pStyle w:val="Figurenote"/>
      </w:pPr>
      <w:r>
        <w:t>图中省略配筋、连接构造、加工要求等细节，不按比例，仅用于形体认识。</w:t>
      </w:r>
    </w:p>
    <w:p w14:paraId="15FADA09" w14:textId="77777777" w:rsidR="00B60E12" w:rsidRDefault="009E575D">
      <w:pPr/>
      <w:r>
        <w:t>机械法兰可以从圆环状主体、中心孔和周向连接孔开始分析。观察哪些部分可以用回转体理解，哪些部分需要切除形成，再思考怎样用视图表达厚度、孔径和孔的位置。</w:t>
      </w:r>
    </w:p>
    <w:p w14:paraId="538B5B11" w14:textId="77777777" w:rsidR="00B60E12" w:rsidRDefault="009E575D">
      <w:pPr/>
      <w:r>
        <w:t>厂房柱可以从竖向柱身及其上下连接部位开始分析。除了观察截面与高度，还要了解柱与建筑轴线、楼层及其他构件的联系。几何形体与工程位置共同构成对柱的认识。</w:t>
      </w:r>
    </w:p>
    <w:p w14:paraId="2431862D" w14:textId="77777777" w:rsidR="00B60E12" w:rsidRDefault="009E575D">
      <w:pPr/>
      <w:r>
        <w:t>闸墩可以从沿水流方向延伸的墩身、迎水端与顶部开始分析。图中采用简化圆端形体，学习时先画平面轮廓，再观察高度与其他方向的投影，并联系上下游方向理解表达。</w:t>
      </w:r>
    </w:p>
    <w:p w14:paraId="1AF52E83" w14:textId="77777777" w:rsidR="00B60E12" w:rsidRDefault="009E575D">
      <w:pPr/>
      <w:r>
        <w:t>变电站设备基础可以从台阶状块体及安装位置开始分析。既要区分各层块体的几何尺寸，也要注意与设备相接的部位及场地定位。实际基础的尺寸、连接和承载能力需要相应设计依据。</w:t>
      </w:r>
    </w:p>
    <w:p w14:paraId="4B0619FA" w14:textId="77777777" w:rsidR="00B60E12" w:rsidRDefault="009E575D">
      <w:pPr/>
      <w:r>
        <w:lastRenderedPageBreak/>
        <w:t>任选其中一个对象，先画形体分解草图，再列出建立模型所需的尺寸，最后说明需要记录哪些非几何信息。通过这样的预览，把具体对象与本章所学的表达方法联系起来。</w:t>
      </w:r>
    </w:p>
    <w:p w14:paraId="441F631D" w14:textId="77777777" w:rsidR="00B60E12" w:rsidRDefault="009E575D">
      <w:pPr>
        <w:pStyle w:val="Resource"/>
      </w:pPr>
      <w:r>
        <w:t>配套资源</w:t>
      </w:r>
      <w:r>
        <w:t xml:space="preserve"> R1-06</w:t>
      </w:r>
      <w:r>
        <w:t xml:space="preserve">　四类对象案例</w:t>
      </w:r>
    </w:p>
    <w:p w14:paraId="032A1A78" w14:textId="77777777" w:rsidR="00B60E12" w:rsidRDefault="009E575D">
      <w:pPr>
        <w:pStyle w:val="书稿辅助标题"/>
      </w:pPr>
      <w:r>
        <w:rPr/>
        <w:t>本章小结</w:t>
      </w:r>
    </w:p>
    <w:p w14:paraId="01461349" w14:textId="77777777" w:rsidR="00B60E12" w:rsidRDefault="009E575D">
      <w:pPr/>
      <w:r>
        <w:t>工程图样与数字模型是表达和传递工程信息的重要手段。投影理论建立空间形体与平面图形之间的联系，制图标准为图样表达提供共同规则，三维建模把形体分析转化为数字模型，信息化建模进一步组织对象的属性和关系。不同表达方式可以根据任务需要共同使用。</w:t>
      </w:r>
    </w:p>
    <w:p w14:paraId="785E9902" w14:textId="77777777" w:rsidR="00B60E12" w:rsidRDefault="009E575D">
      <w:pPr/>
      <w:r>
        <w:t>本课程的核心训练包括空间形体分析、图样识绘、三维建模和模型与图纸的双向转换。学习中应把理论理解、实物观察和动手练习结合起来，交替进行由物画图、由图想物及模型验证，逐步形成准确表达、规范用图和认真负责的习惯。</w:t>
      </w:r>
    </w:p>
    <w:p w14:paraId="6020C91F" w14:textId="77777777" w:rsidR="00B60E12" w:rsidRDefault="009E575D">
      <w:pPr>
        <w:pStyle w:val="书稿辅助标题"/>
      </w:pPr>
      <w:r>
        <w:rPr/>
        <w:t>习题与实践</w:t>
      </w:r>
    </w:p>
    <w:p w14:paraId="64D08A8B" w14:textId="77777777" w:rsidR="00B60E12" w:rsidRDefault="009E575D">
      <w:pPr>
        <w:pStyle w:val="书稿习题"/>
        <w:keepLines/>
      </w:pPr>
      <w:r>
        <w:t xml:space="preserve">1-1 </w:t>
      </w:r>
      <w:r>
        <w:t>工程图样通常由哪些内容构成？结合带孔底座，说明图形、尺寸和文字说明分别有什么作用。</w:t>
      </w:r>
    </w:p>
    <w:p w14:paraId="2F5FDFFF" w14:textId="77777777" w:rsidR="00B60E12" w:rsidRDefault="009E575D">
      <w:pPr>
        <w:pStyle w:val="书稿习题"/>
        <w:keepLines/>
      </w:pPr>
      <w:r>
        <w:t xml:space="preserve">1-2 </w:t>
      </w:r>
      <w:r>
        <w:t>什么是正投影？结合图</w:t>
      </w:r>
      <w:r>
        <w:t>1-2</w:t>
      </w:r>
      <w:r>
        <w:t>，说明主视图、俯视图与左视图分别反映底座的哪些尺寸，以及视图之间怎样对应。</w:t>
      </w:r>
    </w:p>
    <w:p w14:paraId="0C2109E3" w14:textId="77777777" w:rsidR="00B60E12" w:rsidRDefault="009E575D">
      <w:pPr>
        <w:pStyle w:val="书稿习题"/>
        <w:keepLines/>
      </w:pPr>
      <w:r>
        <w:t xml:space="preserve">1-3 </w:t>
      </w:r>
      <w:r>
        <w:t>按图</w:t>
      </w:r>
      <w:r>
        <w:t>1-2</w:t>
      </w:r>
      <w:r>
        <w:t>的教学条件，分析底座的形体组成并写出一种建模步骤。若不知道孔的位置，能否由外形尺寸唯一确定模型？</w:t>
      </w:r>
    </w:p>
    <w:p w14:paraId="6A85118B" w14:textId="77777777" w:rsidR="00B60E12" w:rsidRDefault="009E575D">
      <w:pPr>
        <w:pStyle w:val="书稿习题"/>
        <w:keepLines/>
      </w:pPr>
      <w:r>
        <w:t xml:space="preserve">1-4 </w:t>
      </w:r>
      <w:r>
        <w:t>一构件实际长度为</w:t>
      </w:r>
      <w:r>
        <w:t>200 mm</w:t>
      </w:r>
      <w:r>
        <w:t>，按</w:t>
      </w:r>
      <w:r>
        <w:t>1∶2</w:t>
      </w:r>
      <w:r>
        <w:t>比例绘制。图中对应线段多长，尺寸应标注什么数值？图样图片放大以后，这个标注数值是否改变？</w:t>
      </w:r>
    </w:p>
    <w:p w14:paraId="0DFEF7A9" w14:textId="77777777" w:rsidR="00B60E12" w:rsidRDefault="009E575D">
      <w:pPr>
        <w:pStyle w:val="书稿习题"/>
        <w:keepLines/>
      </w:pPr>
      <w:r>
        <w:t xml:space="preserve">1-5 </w:t>
      </w:r>
      <w:r>
        <w:t>将</w:t>
      </w:r>
      <w:r>
        <w:t>“</w:t>
      </w:r>
      <w:r>
        <w:t>孔径、材料、构件编号、空间坐标、所属楼层、版本号</w:t>
      </w:r>
      <w:r>
        <w:t>”</w:t>
      </w:r>
      <w:r>
        <w:t>分别归入几何信息、非几何属性或对象关系，并说明你的理由。</w:t>
      </w:r>
    </w:p>
    <w:p w14:paraId="096FD308" w14:textId="77777777" w:rsidR="00B60E12" w:rsidRDefault="009E575D">
      <w:pPr>
        <w:pStyle w:val="书稿习题"/>
        <w:keepLines/>
      </w:pPr>
      <w:r>
        <w:t xml:space="preserve">1-6 </w:t>
      </w:r>
      <w:r>
        <w:t>查找一项与本专业有关的制图标准，记录标准号、名称、版本及官方检索来源，说明它适用于什么对象。旧教材采用的标准为什么还需要核对？</w:t>
      </w:r>
    </w:p>
    <w:p w14:paraId="21FF9C12" w14:textId="77777777" w:rsidR="00B60E12" w:rsidRDefault="009E575D">
      <w:pPr>
        <w:pStyle w:val="书稿习题"/>
        <w:keepLines/>
      </w:pPr>
      <w:r>
        <w:t xml:space="preserve">1-7 </w:t>
      </w:r>
      <w:r>
        <w:t>从图</w:t>
      </w:r>
      <w:r>
        <w:t>1-3</w:t>
      </w:r>
      <w:r>
        <w:t>任选一个对象，画形体分解草图，列出拟建模的尺寸与属性。将已知条件、自行提出的教学假设和尚未确定的信息分别注明。</w:t>
      </w:r>
    </w:p>
    <w:p w14:paraId="661320EC" w14:textId="77777777" w:rsidR="00B60E12" w:rsidRDefault="009E575D">
      <w:pPr>
        <w:pStyle w:val="书稿习题"/>
        <w:keepLines/>
      </w:pPr>
      <w:r>
        <w:t xml:space="preserve">1-8 </w:t>
      </w:r>
      <w:r>
        <w:t>两人交换自己的简单构件图样，先据图想象并描述形体，再与原模型比较。记录一处认识上的差异，说明它与图样表达、尺寸条件或读图方法有什么关系。</w:t>
      </w:r>
    </w:p>
    <w:p w14:paraId="06E2FB65" w14:textId="77777777" w:rsidR="00B60E12" w:rsidRDefault="009E575D">
      <w:pPr>
        <w:pStyle w:val="书稿辅助标题"/>
      </w:pPr>
      <w:r>
        <w:rPr/>
        <w:t>自测提示</w:t>
      </w:r>
    </w:p>
    <w:p w14:paraId="4CD2F642" w14:textId="77777777" w:rsidR="00B60E12" w:rsidRDefault="009E575D">
      <w:pPr/>
      <w:r>
        <w:t>第</w:t>
      </w:r>
      <w:r>
        <w:t>1-2</w:t>
      </w:r>
      <w:r>
        <w:t>题：正投影的投射线相互平行且垂直于投影面；本例主视图反映长与厚，俯视图反映长与宽，左视图反映宽与厚，相应视图之间长对正、高平齐、宽相等。第</w:t>
      </w:r>
      <w:r>
        <w:t>1-3</w:t>
      </w:r>
      <w:r>
        <w:t>题：可以先拉伸形成长方体，再定位中心圆并作贯穿切除；缺少孔位条件时，可能得到不同模</w:t>
      </w:r>
      <w:r>
        <w:lastRenderedPageBreak/>
        <w:t>型。第</w:t>
      </w:r>
      <w:r>
        <w:t>1-4</w:t>
      </w:r>
      <w:r>
        <w:t>题：图中线段长</w:t>
      </w:r>
      <w:r>
        <w:t>100 mm</w:t>
      </w:r>
      <w:r>
        <w:t>，尺寸标注为实际长度</w:t>
      </w:r>
      <w:r>
        <w:t>200 mm</w:t>
      </w:r>
      <w:r>
        <w:t>，图片缩放不改变所表示对象的实际尺寸。第</w:t>
      </w:r>
      <w:r>
        <w:t>1-5</w:t>
      </w:r>
      <w:r>
        <w:t>题：孔径、空间坐标属于几何信息；材料、编号、版本号通常作为属性记录；所属楼层体现对象归属关系，也可通过属性字段与关系数据共同表达。</w:t>
      </w:r>
    </w:p>
    <w:p w14:paraId="543E0E07" w14:textId="77777777" w:rsidR="00B60E12" w:rsidRDefault="009E575D">
      <w:pPr>
        <w:pStyle w:val="书稿辅助标题"/>
      </w:pPr>
      <w:r>
        <w:rPr/>
        <w:t>配套数字资源</w:t>
      </w:r>
    </w:p>
    <w:p w14:paraId="6BAD0A64" w14:textId="77777777" w:rsidR="00B60E12" w:rsidRDefault="009E575D">
      <w:pPr>
        <w:pStyle w:val="Resource"/>
      </w:pPr>
      <w:r>
        <w:t>R1-01</w:t>
      </w:r>
      <w:r>
        <w:t xml:space="preserve">　工程表达演进（对应</w:t>
      </w:r>
      <w:r>
        <w:t>1.1</w:t>
      </w:r>
      <w:r>
        <w:t>、图</w:t>
      </w:r>
      <w:r>
        <w:t>1-1</w:t>
      </w:r>
      <w:r>
        <w:t>）。比较草图、二维</w:t>
      </w:r>
      <w:r>
        <w:t>CAD</w:t>
      </w:r>
      <w:r>
        <w:t>图样、三维模型和信息模型的表达内容。</w:t>
      </w:r>
    </w:p>
    <w:p w14:paraId="68749516" w14:textId="77777777" w:rsidR="00B60E12" w:rsidRDefault="009E575D">
      <w:pPr>
        <w:pStyle w:val="Resource"/>
      </w:pPr>
      <w:r>
        <w:t>R1-02</w:t>
      </w:r>
      <w:r>
        <w:t xml:space="preserve">　三视图对应（对应</w:t>
      </w:r>
      <w:r>
        <w:t>1.2.2</w:t>
      </w:r>
      <w:r>
        <w:t>、图</w:t>
      </w:r>
      <w:r>
        <w:t>1-2</w:t>
      </w:r>
      <w:r>
        <w:t>）。观察底座与三个视图的对应关系，辨认孔和轮廓的投影。</w:t>
      </w:r>
    </w:p>
    <w:p w14:paraId="5B886972" w14:textId="77777777" w:rsidR="00B60E12" w:rsidRDefault="009E575D">
      <w:pPr>
        <w:pStyle w:val="Resource"/>
      </w:pPr>
      <w:r>
        <w:t>R1-03</w:t>
      </w:r>
      <w:r>
        <w:t xml:space="preserve">　拉伸与切孔（对应</w:t>
      </w:r>
      <w:r>
        <w:t>1.2.3</w:t>
      </w:r>
      <w:r>
        <w:t>）。按步骤构建带孔底座，观察拉伸、定位与贯穿切除。</w:t>
      </w:r>
    </w:p>
    <w:p w14:paraId="1B422F4E" w14:textId="77777777" w:rsidR="00B60E12" w:rsidRDefault="009E575D">
      <w:pPr>
        <w:pStyle w:val="Resource"/>
      </w:pPr>
      <w:r>
        <w:t>R1-04</w:t>
      </w:r>
      <w:r>
        <w:t xml:space="preserve">　比例与尺寸（对应</w:t>
      </w:r>
      <w:r>
        <w:t>1.3.3</w:t>
      </w:r>
      <w:r>
        <w:t>）。改变绘图比例，比较图形长度与实际尺寸标注。</w:t>
      </w:r>
    </w:p>
    <w:p w14:paraId="551D8499" w14:textId="77777777" w:rsidR="00B60E12" w:rsidRDefault="009E575D">
      <w:pPr>
        <w:pStyle w:val="Resource"/>
      </w:pPr>
      <w:r>
        <w:t>R1-05</w:t>
      </w:r>
      <w:r>
        <w:t xml:space="preserve">　几何与属性（对应</w:t>
      </w:r>
      <w:r>
        <w:t>1.4.1</w:t>
      </w:r>
      <w:r>
        <w:t>）。改变孔径或材料记录，区分几何变化与属性变化。</w:t>
      </w:r>
    </w:p>
    <w:p w14:paraId="6874C370" w14:textId="77777777" w:rsidR="00B60E12" w:rsidRDefault="009E575D">
      <w:pPr>
        <w:pStyle w:val="Resource"/>
      </w:pPr>
      <w:r>
        <w:t>R1-06</w:t>
      </w:r>
      <w:r>
        <w:t xml:space="preserve">　四类对象案例（对应</w:t>
      </w:r>
      <w:r>
        <w:t>1.5.3</w:t>
      </w:r>
      <w:r>
        <w:t>、图</w:t>
      </w:r>
      <w:r>
        <w:t>1-3</w:t>
      </w:r>
      <w:r>
        <w:t>）。比较法兰、厂房柱、闸墩和设备基础的形体与工程信息。</w:t>
      </w:r>
    </w:p>
    <w:p w14:paraId="627A8211" w14:textId="77777777" w:rsidR="00B60E12" w:rsidRDefault="009E575D">
      <w:pPr>
        <w:pStyle w:val="书稿辅助标题"/>
      </w:pPr>
      <w:r>
        <w:rPr/>
        <w:t>参考资料</w:t>
      </w:r>
    </w:p>
    <w:p w14:paraId="10DCB2FA" w14:textId="77777777" w:rsidR="00B60E12" w:rsidRDefault="009E575D">
      <w:pPr>
        <w:pStyle w:val="Reference"/>
        <w:keepLines/>
        <w:ind w:left="380" w:hanging="380"/>
      </w:pPr>
      <w:r>
        <w:t xml:space="preserve">[1] </w:t>
      </w:r>
      <w:r>
        <w:t>卢传贤</w:t>
      </w:r>
      <w:r>
        <w:t xml:space="preserve">. </w:t>
      </w:r>
      <w:r>
        <w:t>土木工程制图</w:t>
      </w:r>
      <w:r>
        <w:t>[M]. 5</w:t>
      </w:r>
      <w:r>
        <w:t>版</w:t>
      </w:r>
      <w:r>
        <w:t xml:space="preserve">. </w:t>
      </w:r>
      <w:r>
        <w:t>北京</w:t>
      </w:r>
      <w:r>
        <w:t xml:space="preserve">: </w:t>
      </w:r>
      <w:r>
        <w:t>中国建筑工业出版社</w:t>
      </w:r>
      <w:r>
        <w:t>, 2017: 1-2.</w:t>
      </w:r>
    </w:p>
    <w:p w14:paraId="7DCACA67" w14:textId="77777777" w:rsidR="00B60E12" w:rsidRDefault="009E575D">
      <w:pPr>
        <w:pStyle w:val="Reference"/>
        <w:keepLines/>
        <w:ind w:left="380" w:hanging="380"/>
      </w:pPr>
      <w:r>
        <w:t xml:space="preserve">[2] </w:t>
      </w:r>
      <w:r>
        <w:t>何建英</w:t>
      </w:r>
      <w:r>
        <w:t xml:space="preserve">, </w:t>
      </w:r>
      <w:r>
        <w:t>池建斌</w:t>
      </w:r>
      <w:r>
        <w:t xml:space="preserve">, </w:t>
      </w:r>
      <w:r>
        <w:t>李喜秋</w:t>
      </w:r>
      <w:r>
        <w:t xml:space="preserve">, </w:t>
      </w:r>
      <w:r>
        <w:t>等</w:t>
      </w:r>
      <w:r>
        <w:t xml:space="preserve">. </w:t>
      </w:r>
      <w:r>
        <w:t>画法几何及机械制图</w:t>
      </w:r>
      <w:r>
        <w:t>[M]. 8</w:t>
      </w:r>
      <w:r>
        <w:t>版</w:t>
      </w:r>
      <w:r>
        <w:t xml:space="preserve">. </w:t>
      </w:r>
      <w:r>
        <w:t>北京</w:t>
      </w:r>
      <w:r>
        <w:t xml:space="preserve">: </w:t>
      </w:r>
      <w:r>
        <w:t>高等教育出版社</w:t>
      </w:r>
      <w:r>
        <w:t>, 2024: 1-2, 34-37.</w:t>
      </w:r>
    </w:p>
    <w:p w14:paraId="67C3CA5A" w14:textId="77777777" w:rsidR="00B60E12" w:rsidRDefault="009E575D">
      <w:pPr>
        <w:pStyle w:val="Reference"/>
        <w:keepLines/>
        <w:ind w:left="380" w:hanging="380"/>
      </w:pPr>
      <w:r>
        <w:t xml:space="preserve">[3] </w:t>
      </w:r>
      <w:r>
        <w:t>庞璐</w:t>
      </w:r>
      <w:r>
        <w:t xml:space="preserve">, </w:t>
      </w:r>
      <w:r>
        <w:t>沈蓓蓓</w:t>
      </w:r>
      <w:r>
        <w:t xml:space="preserve">, </w:t>
      </w:r>
      <w:r>
        <w:t>李炽岚</w:t>
      </w:r>
      <w:r>
        <w:t xml:space="preserve">. </w:t>
      </w:r>
      <w:r>
        <w:t>水利工程制图</w:t>
      </w:r>
      <w:r>
        <w:t>[M]. 5</w:t>
      </w:r>
      <w:r>
        <w:t>版</w:t>
      </w:r>
      <w:r>
        <w:t xml:space="preserve">. </w:t>
      </w:r>
      <w:r>
        <w:t>北京</w:t>
      </w:r>
      <w:r>
        <w:t xml:space="preserve">: </w:t>
      </w:r>
      <w:r>
        <w:t>中国水利水电出版社</w:t>
      </w:r>
      <w:r>
        <w:t>, 2023: 1-3, 25-28.</w:t>
      </w:r>
    </w:p>
    <w:p w14:paraId="5D36BF20" w14:textId="77777777" w:rsidR="00B60E12" w:rsidRDefault="009E575D">
      <w:pPr>
        <w:pStyle w:val="Reference"/>
        <w:keepLines/>
        <w:ind w:left="380" w:hanging="380"/>
      </w:pPr>
      <w:r>
        <w:t xml:space="preserve">[4] </w:t>
      </w:r>
      <w:r>
        <w:t>张学忱</w:t>
      </w:r>
      <w:r>
        <w:t xml:space="preserve">, </w:t>
      </w:r>
      <w:r>
        <w:t>陈锦昌</w:t>
      </w:r>
      <w:r>
        <w:t xml:space="preserve">, </w:t>
      </w:r>
      <w:r>
        <w:t>等</w:t>
      </w:r>
      <w:r>
        <w:t xml:space="preserve">. </w:t>
      </w:r>
      <w:r>
        <w:t>三维工程制图</w:t>
      </w:r>
      <w:r>
        <w:t xml:space="preserve">: </w:t>
      </w:r>
      <w:r>
        <w:t>产品三维建模技术与应用</w:t>
      </w:r>
      <w:r>
        <w:t xml:space="preserve">[M]. </w:t>
      </w:r>
      <w:r>
        <w:t>北京</w:t>
      </w:r>
      <w:r>
        <w:t xml:space="preserve">: </w:t>
      </w:r>
      <w:r>
        <w:t>高等教育出版社</w:t>
      </w:r>
      <w:r>
        <w:t>, 2009: 1-2, 10-14, 23-28.</w:t>
      </w:r>
    </w:p>
    <w:p w14:paraId="184F2610" w14:textId="77777777" w:rsidR="00B60E12" w:rsidRDefault="009E575D">
      <w:pPr>
        <w:pStyle w:val="Reference"/>
        <w:keepLines/>
        <w:ind w:left="380" w:hanging="380"/>
      </w:pPr>
      <w:r>
        <w:t xml:space="preserve">[5] </w:t>
      </w:r>
      <w:r>
        <w:t>阮春红</w:t>
      </w:r>
      <w:r>
        <w:t xml:space="preserve">, </w:t>
      </w:r>
      <w:r>
        <w:t>何建英</w:t>
      </w:r>
      <w:r>
        <w:t xml:space="preserve">, </w:t>
      </w:r>
      <w:r>
        <w:t>张俐</w:t>
      </w:r>
      <w:r>
        <w:t xml:space="preserve">, </w:t>
      </w:r>
      <w:r>
        <w:t>等</w:t>
      </w:r>
      <w:r>
        <w:t>. 3D</w:t>
      </w:r>
      <w:r>
        <w:t>工程制图</w:t>
      </w:r>
      <w:r>
        <w:t>·</w:t>
      </w:r>
      <w:r>
        <w:t>理论篇</w:t>
      </w:r>
      <w:r>
        <w:t>[M]. 5</w:t>
      </w:r>
      <w:r>
        <w:t>版</w:t>
      </w:r>
      <w:r>
        <w:t xml:space="preserve">. </w:t>
      </w:r>
      <w:r>
        <w:t>武汉</w:t>
      </w:r>
      <w:r>
        <w:t xml:space="preserve">: </w:t>
      </w:r>
      <w:r>
        <w:t>华中科技大学出版社</w:t>
      </w:r>
      <w:r>
        <w:t>, 2020: 1-5, 40-42.</w:t>
      </w:r>
    </w:p>
    <w:p w14:paraId="2F73FBD2" w14:textId="77777777" w:rsidR="00B60E12" w:rsidRDefault="009E575D">
      <w:pPr>
        <w:pStyle w:val="Reference"/>
        <w:keepLines/>
        <w:ind w:left="380" w:hanging="380"/>
      </w:pPr>
      <w:r>
        <w:t xml:space="preserve">[6] </w:t>
      </w:r>
      <w:r>
        <w:t>周佶</w:t>
      </w:r>
      <w:r>
        <w:t xml:space="preserve">. </w:t>
      </w:r>
      <w:r>
        <w:t>土木工程图学与</w:t>
      </w:r>
      <w:r>
        <w:t xml:space="preserve">BIM[M]. </w:t>
      </w:r>
      <w:r>
        <w:t>北京</w:t>
      </w:r>
      <w:r>
        <w:t xml:space="preserve">: </w:t>
      </w:r>
      <w:r>
        <w:t>清华大学出版社</w:t>
      </w:r>
      <w:r>
        <w:t xml:space="preserve">, 2020: </w:t>
      </w:r>
      <w:r>
        <w:t>前言</w:t>
      </w:r>
      <w:r>
        <w:t>, 143-144.</w:t>
      </w:r>
    </w:p>
    <w:p w14:paraId="0F90701F" w14:textId="7F81E819" w:rsidR="00B60E12" w:rsidRDefault="009E575D">
      <w:pPr>
        <w:pStyle w:val="Reference"/>
        <w:keepLines/>
        <w:ind w:left="380" w:hanging="380"/>
      </w:pPr>
      <w:r>
        <w:t xml:space="preserve">[7] </w:t>
      </w:r>
      <w:r>
        <w:t>机械制图</w:t>
      </w:r>
      <w:r>
        <w:t xml:space="preserve"> </w:t>
      </w:r>
      <w:r>
        <w:t>图样画法</w:t>
      </w:r>
      <w:r>
        <w:t xml:space="preserve"> </w:t>
      </w:r>
      <w:r>
        <w:t>图线：</w:t>
      </w:r>
      <w:r>
        <w:t xml:space="preserve">GB/T 4457.4—2002[S]. 2002. </w:t>
      </w:r>
      <w:hyperlink r:id="rId11">
        <w:r>
          <w:t>[</w:t>
        </w:r>
        <w:r>
          <w:t>在线资料</w:t>
        </w:r>
        <w:r>
          <w:t>]</w:t>
        </w:r>
      </w:hyperlink>
    </w:p>
    <w:p w14:paraId="332A1E05" w14:textId="0B2A1D8C" w:rsidR="00B60E12" w:rsidRDefault="009E575D">
      <w:pPr>
        <w:pStyle w:val="Reference"/>
        <w:keepLines/>
        <w:ind w:left="380" w:hanging="380"/>
      </w:pPr>
      <w:r>
        <w:t xml:space="preserve">[8] </w:t>
      </w:r>
      <w:r>
        <w:t>机械制图</w:t>
      </w:r>
      <w:r>
        <w:t xml:space="preserve"> </w:t>
      </w:r>
      <w:r>
        <w:t>图样画法</w:t>
      </w:r>
      <w:r>
        <w:t xml:space="preserve"> </w:t>
      </w:r>
      <w:r>
        <w:t>视图：</w:t>
      </w:r>
      <w:r>
        <w:t xml:space="preserve">GB/T 4458.1—2002[S]. 2002. </w:t>
      </w:r>
      <w:hyperlink r:id="rId12">
        <w:r>
          <w:t>[</w:t>
        </w:r>
        <w:r>
          <w:t>在线资料</w:t>
        </w:r>
        <w:r>
          <w:t>]</w:t>
        </w:r>
      </w:hyperlink>
    </w:p>
    <w:p w14:paraId="71CE679A" w14:textId="7495508F" w:rsidR="00B60E12" w:rsidRDefault="009E575D">
      <w:pPr>
        <w:pStyle w:val="Reference"/>
        <w:keepLines/>
        <w:ind w:left="380" w:hanging="380"/>
      </w:pPr>
      <w:r>
        <w:t xml:space="preserve">[9] </w:t>
      </w:r>
      <w:r>
        <w:t>房屋建筑制图统一标准：</w:t>
      </w:r>
      <w:r>
        <w:t xml:space="preserve">GB/T 50001—2017[S]. 2017. </w:t>
      </w:r>
      <w:hyperlink r:id="rId13">
        <w:r>
          <w:t>[</w:t>
        </w:r>
        <w:r>
          <w:t>在线资料</w:t>
        </w:r>
        <w:r>
          <w:t>]</w:t>
        </w:r>
      </w:hyperlink>
    </w:p>
    <w:p w14:paraId="16696B38" w14:textId="0579EF45" w:rsidR="00B60E12" w:rsidRDefault="009E575D">
      <w:pPr>
        <w:pStyle w:val="Reference"/>
        <w:keepLines/>
        <w:ind w:left="380" w:hanging="380"/>
      </w:pPr>
      <w:r>
        <w:t xml:space="preserve">[10] </w:t>
      </w:r>
      <w:r>
        <w:t>总图制图标准：</w:t>
      </w:r>
      <w:r>
        <w:t xml:space="preserve">GB/T 50103—2010[S]. 2010. </w:t>
      </w:r>
      <w:hyperlink r:id="rId14">
        <w:r>
          <w:t>[</w:t>
        </w:r>
        <w:r>
          <w:t>在线资料</w:t>
        </w:r>
        <w:r>
          <w:t>]</w:t>
        </w:r>
      </w:hyperlink>
    </w:p>
    <w:p w14:paraId="654308F3" w14:textId="01B30918" w:rsidR="00B60E12" w:rsidRDefault="009E575D">
      <w:pPr>
        <w:pStyle w:val="Reference"/>
        <w:keepLines/>
        <w:ind w:left="380" w:hanging="380"/>
      </w:pPr>
      <w:r>
        <w:t xml:space="preserve">[11] </w:t>
      </w:r>
      <w:r>
        <w:t>建筑制图标准：</w:t>
      </w:r>
      <w:r>
        <w:t xml:space="preserve">GB/T 50104—2010[S]. 2010. </w:t>
      </w:r>
      <w:hyperlink r:id="rId15">
        <w:r>
          <w:t>[</w:t>
        </w:r>
        <w:r>
          <w:t>在线资料</w:t>
        </w:r>
        <w:r>
          <w:t>]</w:t>
        </w:r>
      </w:hyperlink>
    </w:p>
    <w:p w14:paraId="57BB48AA" w14:textId="1525E0DA" w:rsidR="00B60E12" w:rsidRDefault="009E575D">
      <w:pPr>
        <w:pStyle w:val="Reference"/>
        <w:keepLines/>
        <w:ind w:left="380" w:hanging="380"/>
      </w:pPr>
      <w:r>
        <w:t xml:space="preserve">[12] </w:t>
      </w:r>
      <w:r>
        <w:t>建筑结构制图标准：</w:t>
      </w:r>
      <w:r>
        <w:t xml:space="preserve">GB/T 50105—2010[S]. 2010. </w:t>
      </w:r>
      <w:hyperlink r:id="rId16">
        <w:r>
          <w:t>[</w:t>
        </w:r>
        <w:r>
          <w:t>在线资料</w:t>
        </w:r>
        <w:r>
          <w:t>]</w:t>
        </w:r>
      </w:hyperlink>
    </w:p>
    <w:p w14:paraId="46DF7B4C" w14:textId="6739E396" w:rsidR="00B60E12" w:rsidRDefault="009E575D">
      <w:pPr>
        <w:pStyle w:val="Reference"/>
        <w:keepLines/>
        <w:ind w:left="380" w:hanging="380"/>
      </w:pPr>
      <w:r>
        <w:t xml:space="preserve">[13] </w:t>
      </w:r>
      <w:r>
        <w:t>湖南省水利厅</w:t>
      </w:r>
      <w:r>
        <w:t xml:space="preserve">. </w:t>
      </w:r>
      <w:r>
        <w:t>水利部发布《水利水电工程制图</w:t>
      </w:r>
      <w:r>
        <w:t xml:space="preserve"> </w:t>
      </w:r>
      <w:r>
        <w:t>第</w:t>
      </w:r>
      <w:r>
        <w:t>1</w:t>
      </w:r>
      <w:r>
        <w:t>部分：基础制图》等</w:t>
      </w:r>
      <w:r>
        <w:t>10</w:t>
      </w:r>
      <w:r>
        <w:t>项水利行业标准</w:t>
      </w:r>
      <w:r>
        <w:t xml:space="preserve">[EB/OL]. (2026-01-26)[2026-10-26]. </w:t>
      </w:r>
      <w:hyperlink r:id="rId17">
        <w:r>
          <w:t>[</w:t>
        </w:r>
        <w:r>
          <w:t>在线资料</w:t>
        </w:r>
        <w:r>
          <w:t>]</w:t>
        </w:r>
      </w:hyperlink>
    </w:p>
    <w:p w14:paraId="0689EEC6" w14:textId="5E512C71" w:rsidR="00B60E12" w:rsidRDefault="009E575D">
      <w:pPr>
        <w:pStyle w:val="Reference"/>
        <w:keepLines/>
        <w:ind w:left="380" w:hanging="380"/>
      </w:pPr>
      <w:r>
        <w:t xml:space="preserve">[14] </w:t>
      </w:r>
      <w:r>
        <w:t>水电工程制图标准</w:t>
      </w:r>
      <w:r>
        <w:t xml:space="preserve"> </w:t>
      </w:r>
      <w:r>
        <w:t>第</w:t>
      </w:r>
      <w:r>
        <w:t>1</w:t>
      </w:r>
      <w:r>
        <w:t>部分：基础制图：</w:t>
      </w:r>
      <w:r>
        <w:t xml:space="preserve">NB/T 10883.1—2023[S]. 2023. </w:t>
      </w:r>
      <w:hyperlink r:id="rId18">
        <w:r>
          <w:t>[</w:t>
        </w:r>
        <w:r>
          <w:t>在线资料</w:t>
        </w:r>
        <w:r>
          <w:t>]</w:t>
        </w:r>
      </w:hyperlink>
    </w:p>
    <w:p w14:paraId="7499E570" w14:textId="32B6D02B" w:rsidR="00B60E12" w:rsidRDefault="009E575D">
      <w:pPr>
        <w:pStyle w:val="Reference"/>
        <w:keepLines/>
        <w:ind w:left="380" w:hanging="380"/>
      </w:pPr>
      <w:r>
        <w:t xml:space="preserve">[15] </w:t>
      </w:r>
      <w:r>
        <w:t>建筑信息模型应用统一标准：</w:t>
      </w:r>
      <w:r>
        <w:t xml:space="preserve">GB/T 51212—2016[S]. 2016. </w:t>
      </w:r>
      <w:hyperlink r:id="rId19">
        <w:r>
          <w:t>[</w:t>
        </w:r>
        <w:r>
          <w:t>在线资料</w:t>
        </w:r>
        <w:r>
          <w:t>]</w:t>
        </w:r>
      </w:hyperlink>
    </w:p>
    <w:p w14:paraId="4F03ECC7" w14:textId="481F86BF" w:rsidR="00B60E12" w:rsidRDefault="009E575D">
      <w:pPr>
        <w:pStyle w:val="Reference"/>
        <w:keepLines/>
        <w:ind w:left="380" w:hanging="380"/>
      </w:pPr>
      <w:r>
        <w:t xml:space="preserve">[16] </w:t>
      </w:r>
      <w:r>
        <w:t>建筑信息模型设计交付标准：</w:t>
      </w:r>
      <w:r>
        <w:t xml:space="preserve">GB/T 51301—2018[S]. 2018. </w:t>
      </w:r>
      <w:hyperlink r:id="rId20">
        <w:r>
          <w:t>[</w:t>
        </w:r>
        <w:r>
          <w:t>在线资料</w:t>
        </w:r>
        <w:r>
          <w:t>]</w:t>
        </w:r>
      </w:hyperlink>
    </w:p>
    <w:p w14:paraId="649F6821" w14:textId="7FF902B0" w:rsidR="00B60E12" w:rsidRDefault="009E575D">
      <w:pPr>
        <w:pStyle w:val="Reference"/>
        <w:keepLines/>
        <w:ind w:left="380" w:hanging="380"/>
      </w:pPr>
      <w:r>
        <w:t xml:space="preserve">[17] buildingSMART International. Industry Foundation Classes (IFC)[EB/OL]. [2026-10-26]. </w:t>
      </w:r>
      <w:hyperlink r:id="rId21">
        <w:r>
          <w:t>[</w:t>
        </w:r>
        <w:r>
          <w:t>在线资料</w:t>
        </w:r>
        <w:r>
          <w:t>]</w:t>
        </w:r>
      </w:hyperlink>
    </w:p>
    <w:p w14:paraId="526AB206" w14:textId="21DB8EF6" w:rsidR="00B60E12" w:rsidRDefault="009E575D">
      <w:pPr>
        <w:pStyle w:val="Reference"/>
        <w:keepLines/>
        <w:ind w:left="380" w:hanging="380"/>
      </w:pPr>
      <w:r>
        <w:lastRenderedPageBreak/>
        <w:t xml:space="preserve">[18] </w:t>
      </w:r>
      <w:r>
        <w:t>北京市人民政府国有资产监督管理委员会</w:t>
      </w:r>
      <w:r>
        <w:t>. “</w:t>
      </w:r>
      <w:r>
        <w:t>京华号</w:t>
      </w:r>
      <w:r>
        <w:t>”</w:t>
      </w:r>
      <w:r>
        <w:t>盾构机开始组装，做好东六环入地改造工程地下掘进准备</w:t>
      </w:r>
      <w:r>
        <w:t xml:space="preserve">[EB/OL]. (2020-11-10)[2026-10-26]. </w:t>
      </w:r>
      <w:hyperlink r:id="rId22">
        <w:r>
          <w:t>[</w:t>
        </w:r>
        <w:r>
          <w:t>在线资料</w:t>
        </w:r>
        <w:r>
          <w:t>]</w:t>
        </w:r>
      </w:hyperlink>
    </w:p>
    <w:p w14:paraId="623C6991" w14:textId="7AB7F0BE" w:rsidR="00B60E12" w:rsidRDefault="009E575D">
      <w:pPr>
        <w:pStyle w:val="Reference"/>
        <w:keepLines/>
        <w:ind w:left="380" w:hanging="380"/>
      </w:pPr>
      <w:r>
        <w:t xml:space="preserve">[19] </w:t>
      </w:r>
      <w:r>
        <w:t>中国长江三峡集团有限公司</w:t>
      </w:r>
      <w:r>
        <w:t xml:space="preserve">. </w:t>
      </w:r>
      <w:r>
        <w:t>三峡枢纽工程有哪些主要建筑物？</w:t>
      </w:r>
      <w:r>
        <w:t xml:space="preserve">[EB/OL]. [2026-10-26]. </w:t>
      </w:r>
      <w:hyperlink r:id="rId23">
        <w:r>
          <w:t>[</w:t>
        </w:r>
        <w:r>
          <w:t>在线资料</w:t>
        </w:r>
        <w:r>
          <w:t>]</w:t>
        </w:r>
      </w:hyperlink>
    </w:p>
    <w:p w14:paraId="42AAD444" w14:textId="595B94EF" w:rsidR="00B60E12" w:rsidRDefault="009E575D">
      <w:pPr>
        <w:pStyle w:val="Reference"/>
        <w:keepLines/>
        <w:ind w:left="380" w:hanging="380"/>
      </w:pPr>
      <w:r>
        <w:t xml:space="preserve">[20] </w:t>
      </w:r>
      <w:r>
        <w:t>中国南方电网有限责任公司</w:t>
      </w:r>
      <w:r>
        <w:t xml:space="preserve">. </w:t>
      </w:r>
      <w:r>
        <w:t>海南</w:t>
      </w:r>
      <w:r>
        <w:t>500</w:t>
      </w:r>
      <w:r>
        <w:t>千伏主网架工程首座变电站投运</w:t>
      </w:r>
      <w:r>
        <w:t xml:space="preserve">[EB/OL]. (2025-09-12)[2026-10-26]. </w:t>
      </w:r>
      <w:hyperlink r:id="rId24">
        <w:r>
          <w:t>[</w:t>
        </w:r>
        <w:r>
          <w:t>在线资料</w:t>
        </w:r>
        <w:r>
          <w:t>]</w:t>
        </w:r>
      </w:hyperlink>
    </w:p>
    <w:p w14:paraId="2E9E0075" w14:textId="6909E119" w:rsidR="00B60E12" w:rsidRDefault="009E575D">
      <w:pPr>
        <w:pStyle w:val="Reference"/>
        <w:keepLines/>
        <w:ind w:left="380" w:hanging="380"/>
      </w:pPr>
      <w:r>
        <w:t xml:space="preserve">[21] </w:t>
      </w:r>
      <w:r>
        <w:t>国家能源局福建监管办公室</w:t>
      </w:r>
      <w:r>
        <w:t xml:space="preserve">. </w:t>
      </w:r>
      <w:r>
        <w:t>特高压输电：数不清的世界之最</w:t>
      </w:r>
      <w:r>
        <w:t xml:space="preserve">[EB/OL]. (2012-03-13)[2026-10-26]. </w:t>
      </w:r>
      <w:hyperlink r:id="rId25">
        <w:r>
          <w:t>[</w:t>
        </w:r>
        <w:r>
          <w:t>在线资料</w:t>
        </w:r>
        <w:r>
          <w:t>]</w:t>
        </w:r>
      </w:hyperlink>
    </w:p>
    <w:p w14:paraId="7E84547A" w14:textId="0A69879E" w:rsidR="00B60E12" w:rsidRDefault="009E575D">
      <w:pPr>
        <w:pStyle w:val="Reference"/>
        <w:keepLines/>
        <w:ind w:left="380" w:hanging="380"/>
      </w:pPr>
      <w:r>
        <w:t xml:space="preserve">[22] </w:t>
      </w:r>
      <w:r>
        <w:t>香港特别行政区政府路政署</w:t>
      </w:r>
      <w:r>
        <w:t xml:space="preserve">. </w:t>
      </w:r>
      <w:r>
        <w:t>港珠澳大桥主桥</w:t>
      </w:r>
      <w:r>
        <w:t xml:space="preserve">[EB/OL]. [2026-10-26]. </w:t>
      </w:r>
      <w:hyperlink r:id="rId26">
        <w:r>
          <w:t>[</w:t>
        </w:r>
        <w:r>
          <w:t>在线资料</w:t>
        </w:r>
        <w:r>
          <w:t>]</w:t>
        </w:r>
      </w:hyperlink>
    </w:p>
    <w:sectPr w:rsidR="00B60E12" w:rsidSect="00034616">
      <w:headerReference w:type="even" r:id="rId27"/>
      <w:headerReference w:type="default" r:id="rId28"/>
      <w:footerReference w:type="even" r:id="rId29"/>
      <w:footerReference w:type="default" r:id="rId30"/>
      <w:footerReference w:type="first" r:id="rId31"/>
      <w:pgSz w:w="10488" w:h="14740"/>
      <w:pgMar w:top="1134" w:right="1020" w:bottom="1077" w:left="1247" w:header="510"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FB28" w14:textId="77777777" w:rsidR="009E575D" w:rsidRDefault="009E575D">
      <w:pPr>
        <w:spacing w:line="240" w:lineRule="auto"/>
      </w:pPr>
      <w:r>
        <w:separator/>
      </w:r>
    </w:p>
  </w:endnote>
  <w:endnote w:type="continuationSeparator" w:id="0">
    <w:p w14:paraId="14561479" w14:textId="77777777" w:rsidR="009E575D" w:rsidRDefault="009E57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06C49" w14:textId="77777777" w:rsidR="00B60E12" w:rsidRDefault="009E575D">
    <w:pPr>
      <w:pStyle w:val="a7"/>
      <w:jc w:val="left"/>
    </w:pPr>
    <w:r>
      <w:fldChar w:fldCharType="begin"/>
    </w:r>
    <w:r>
      <w:instrText>PAGE</w:instrText>
    </w:r>
    <w:r>
      <w:fldChar w:fldCharType="separate"/>
    </w:r>
    <w:r w:rsidR="00B254F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87CD" w14:textId="77777777" w:rsidR="00B60E12" w:rsidRDefault="009E575D">
    <w:pPr>
      <w:pStyle w:val="a7"/>
      <w:jc w:val="right"/>
    </w:pPr>
    <w:r>
      <w:fldChar w:fldCharType="begin"/>
    </w:r>
    <w:r>
      <w:instrText>PAGE</w:instrText>
    </w:r>
    <w:r>
      <w:fldChar w:fldCharType="separate"/>
    </w:r>
    <w:r w:rsidR="00B254F5">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5D6C" w14:textId="77777777" w:rsidR="00B60E12" w:rsidRDefault="009E575D">
    <w:pPr>
      <w:pStyle w:val="a7"/>
      <w:jc w:val="right"/>
    </w:pPr>
    <w:r>
      <w:fldChar w:fldCharType="begin"/>
    </w:r>
    <w:r>
      <w:instrText>PAGE</w:instrText>
    </w:r>
    <w:r>
      <w:fldChar w:fldCharType="separate"/>
    </w:r>
    <w:r w:rsidR="00B254F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4DC45" w14:textId="77777777" w:rsidR="009E575D" w:rsidRDefault="009E575D">
      <w:pPr>
        <w:spacing w:line="240" w:lineRule="auto"/>
      </w:pPr>
      <w:r>
        <w:separator/>
      </w:r>
    </w:p>
  </w:footnote>
  <w:footnote w:type="continuationSeparator" w:id="0">
    <w:p w14:paraId="3F408E2B" w14:textId="77777777" w:rsidR="009E575D" w:rsidRDefault="009E57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E322" w14:textId="77777777" w:rsidR="00B60E12" w:rsidRDefault="009E575D">
    <w:pPr>
      <w:pStyle w:val="a5"/>
      <w:jc w:val="left"/>
    </w:pPr>
    <w:r>
      <w:t>信息化建模</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591D6" w14:textId="77777777" w:rsidR="00B60E12" w:rsidRDefault="009E575D">
    <w:pPr>
      <w:pStyle w:val="a5"/>
      <w:jc w:val="right"/>
    </w:pPr>
    <w:r>
      <w:t>第</w:t>
    </w:r>
    <w:r>
      <w:t>1</w:t>
    </w:r>
    <w:r>
      <w:t>章</w:t>
    </w:r>
    <w:r>
      <w:t xml:space="preserve"> </w:t>
    </w:r>
    <w:r>
      <w:t>绪论　工程图学与信息化建模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96321406">
    <w:abstractNumId w:val="8"/>
  </w:num>
  <w:num w:numId="2" w16cid:durableId="1846745519">
    <w:abstractNumId w:val="6"/>
  </w:num>
  <w:num w:numId="3" w16cid:durableId="1729526052">
    <w:abstractNumId w:val="5"/>
  </w:num>
  <w:num w:numId="4" w16cid:durableId="400179619">
    <w:abstractNumId w:val="4"/>
  </w:num>
  <w:num w:numId="5" w16cid:durableId="1787311600">
    <w:abstractNumId w:val="7"/>
  </w:num>
  <w:num w:numId="6" w16cid:durableId="746197532">
    <w:abstractNumId w:val="3"/>
  </w:num>
  <w:num w:numId="7" w16cid:durableId="182210694">
    <w:abstractNumId w:val="2"/>
  </w:num>
  <w:num w:numId="8" w16cid:durableId="2044405584">
    <w:abstractNumId w:val="1"/>
  </w:num>
  <w:num w:numId="9" w16cid:durableId="1830562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mirrorMargins/>
  <w:bordersDoNotSurroundHeader/>
  <w:bordersDoNotSurroundFooter/>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9162E"/>
    <w:rsid w:val="009E575D"/>
    <w:rsid w:val="00AA1D8D"/>
    <w:rsid w:val="00B254F5"/>
    <w:rsid w:val="00B47730"/>
    <w:rsid w:val="00B60E1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4219E3"/>
  <w14:defaultImageDpi w14:val="300"/>
  <w15:docId w15:val="{B690A3D7-40CA-44C2-923F-1C24525B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jc w:val="both"/>
      <w:spacing w:line="360" w:lineRule="auto" w:before="0" w:after="0" w:beforeLines="0" w:afterLines="0"/>
      <w:ind w:left="0" w:firstLine="480" w:firstLineChars="200"/>
      <w:widowControl/>
      <w:snapToGrid w:val="0"/>
    </w:pPr>
    <w:rPr>
      <w:rFonts w:ascii="Times New Roman" w:eastAsia="宋体" w:hAnsi="Times New Roman" w:cs="Times New Roman"/>
      <w:b w:val="0"/>
      <w:i w:val="0"/>
      <w:color w:val="000000"/>
      <w:sz w:val="24"/>
    </w:rPr>
  </w:style>
  <w:style w:type="paragraph" w:styleId="1">
    <w:name w:val="heading 1"/>
    <w:basedOn w:val="a1"/>
    <w:next w:val="a1"/>
    <w:link w:val="10"/>
    <w:uiPriority w:val="9"/>
    <w:qFormat/>
    <w:rsid w:val="00FC693F"/>
    <w:pPr>
      <w:keepNext/>
      <w:keepLines/>
      <w:jc w:val="center"/>
      <w:spacing w:line="360" w:lineRule="auto" w:before="0" w:after="0" w:beforeLines="0" w:afterLines="0"/>
      <w:ind w:left="0" w:firstLine="0" w:firstLineChars="0"/>
      <w:widowControl/>
      <w:snapToGrid w:val="0"/>
      <w:outlineLvl w:val="0"/>
    </w:pPr>
    <w:rPr>
      <w:rFonts w:ascii="Times New Roman" w:hAnsi="Times New Roman" w:cs="Times New Roman" w:eastAsia="黑体"/>
      <w:b w:val="0"/>
      <w:bCs/>
      <w:i w:val="0"/>
      <w:color w:val="000000"/>
      <w:sz w:val="32"/>
      <w:szCs w:val="28"/>
    </w:rPr>
  </w:style>
  <w:style w:type="paragraph" w:styleId="21">
    <w:name w:val="heading 2"/>
    <w:basedOn w:val="a1"/>
    <w:next w:val="a1"/>
    <w:link w:val="22"/>
    <w:uiPriority w:val="9"/>
    <w:unhideWhenUsed/>
    <w:qFormat/>
    <w:rsid w:val="00FC693F"/>
    <w:pPr>
      <w:keepNext/>
      <w:keepLines/>
      <w:jc w:val="center"/>
      <w:spacing w:line="360" w:lineRule="auto" w:before="0" w:after="0" w:beforeLines="0" w:afterLines="0"/>
      <w:ind w:left="0" w:firstLine="0" w:firstLineChars="0"/>
      <w:widowControl/>
      <w:snapToGrid w:val="0"/>
      <w:outlineLvl w:val="1"/>
    </w:pPr>
    <w:rPr>
      <w:rFonts w:ascii="Times New Roman" w:hAnsi="Times New Roman" w:cs="Times New Roman" w:eastAsia="黑体"/>
      <w:b w:val="0"/>
      <w:bCs/>
      <w:i w:val="0"/>
      <w:color w:val="000000"/>
      <w:sz w:val="30"/>
      <w:szCs w:val="26"/>
    </w:rPr>
  </w:style>
  <w:style w:type="paragraph" w:styleId="31">
    <w:name w:val="heading 3"/>
    <w:next w:val="a1"/>
    <w:link w:val="32"/>
    <w:uiPriority w:val="9"/>
    <w:unhideWhenUsed/>
    <w:qFormat/>
    <w:rsid w:val="00FC693F"/>
    <w:pPr>
      <w:keepNext/>
      <w:keepLines/>
      <w:jc w:val="left"/>
      <w:spacing w:line="360" w:lineRule="auto" w:before="0" w:after="0" w:beforeLines="100" w:afterLines="50"/>
      <w:ind w:left="283" w:hanging="283"/>
      <w:widowControl/>
      <w:snapToGrid w:val="0"/>
      <w:outlineLvl w:val="2"/>
    </w:pPr>
    <w:rPr>
      <w:rFonts w:ascii="Times New Roman" w:hAnsi="Times New Roman" w:cs="Times New Roman" w:eastAsia="黑体"/>
      <w:b w:val="0"/>
      <w:bCs/>
      <w:i w:val="0"/>
      <w:color w:val="000000"/>
      <w:sz w:val="24"/>
    </w:rPr>
  </w:style>
  <w:style w:type="paragraph" w:styleId="4">
    <w:name w:val="heading 4"/>
    <w:basedOn w:val="a1"/>
    <w:next w:val="a1"/>
    <w:link w:val="40"/>
    <w:uiPriority w:val="9"/>
    <w:semiHidden/>
    <w:unhideWhenUsed/>
    <w:qFormat/>
    <w:rsid w:val="00FC693F"/>
    <w:pPr>
      <w:keepNext/>
      <w:keepLines/>
      <w:jc w:val="left"/>
      <w:spacing w:line="360" w:lineRule="auto" w:before="0" w:after="0" w:beforeLines="50" w:afterLines="50"/>
      <w:ind w:left="0" w:firstLine="0" w:firstLineChars="0"/>
      <w:widowControl/>
      <w:snapToGrid w:val="0"/>
      <w:outlineLvl w:val="3"/>
    </w:pPr>
    <w:rPr>
      <w:rFonts w:ascii="Times New Roman" w:hAnsi="Times New Roman" w:cs="Times New Roman" w:eastAsia="黑体"/>
      <w:b w:val="0"/>
      <w:bCs/>
      <w:i w:val="0"/>
      <w:iCs/>
      <w:color w:val="000000"/>
      <w:sz w:val="24"/>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exact"/>
      <w:ind w:firstLine="0" w:firstLineChars="0"/>
    </w:pPr>
    <w:rPr>
      <w:sz w:val="17"/>
      <w:rFonts w:ascii="Times New Roman" w:hAnsi="Times New Roman" w:cs="Times New Roman" w:eastAsia="宋体"/>
    </w:r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exact"/>
      <w:ind w:firstLine="0" w:firstLineChars="0"/>
    </w:pPr>
    <w:rPr>
      <w:sz w:val="18"/>
      <w:rFonts w:ascii="Times New Roman" w:hAnsi="Times New Roman" w:cs="Times New Roman" w:eastAsia="宋体"/>
    </w:r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keepLines/>
      <w:spacing w:before="240" w:after="380" w:line="600" w:lineRule="exact"/>
      <w:ind w:firstLine="0"/>
      <w:contextualSpacing/>
      <w:jc w:val="center"/>
    </w:pPr>
    <w:rPr>
      <w:rFonts w:asciiTheme="majorHAnsi" w:eastAsiaTheme="majorEastAsia" w:hAnsiTheme="majorHAnsi" w:cstheme="majorBidi"/>
      <w:spacing w:val="5"/>
      <w:kern w:val="28"/>
      <w:sz w:val="38"/>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20"/>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before="80" w:after="100" w:line="280" w:lineRule="exact"/>
      <w:ind w:firstLine="0" w:firstLineChars="0"/>
      <w:jc w:val="center"/>
    </w:pPr>
    <w:rPr>
      <w:bCs/>
      <w:sz w:val="19"/>
      <w:szCs w:val="18"/>
      <w:rFonts w:ascii="Times New Roman" w:hAnsi="Times New Roman" w:cs="Times New Roman" w:eastAsia="宋体"/>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
    <w:name w:val="Resource"/>
    <w:pPr>
      <w:keepLines/>
      <w:snapToGrid w:val="0"/>
      <w:spacing w:before="60" w:after="80" w:line="300" w:lineRule="exact"/>
      <w:jc w:val="both"/>
      <w:ind w:firstLineChars="0"/>
    </w:pPr>
    <w:rPr>
      <w:rFonts w:ascii="Times New Roman" w:eastAsia="宋体" w:hAnsi="Times New Roman" w:cs="Times New Roman"/>
      <w:color w:val="000000"/>
      <w:sz w:val="19"/>
    </w:rPr>
  </w:style>
  <w:style w:type="paragraph" w:customStyle="1" w:styleId="Reference">
    <w:name w:val="Reference"/>
    <w:pPr>
      <w:snapToGrid w:val="0"/>
      <w:spacing w:after="60" w:line="280" w:lineRule="exact"/>
      <w:jc w:val="both"/>
      <w:ind w:firstLineChars="0"/>
    </w:pPr>
    <w:rPr>
      <w:rFonts w:ascii="Times New Roman" w:eastAsia="宋体" w:hAnsi="Times New Roman" w:cs="Times New Roman"/>
      <w:color w:val="000000"/>
      <w:sz w:val="18"/>
    </w:rPr>
  </w:style>
  <w:style w:type="paragraph" w:customStyle="1" w:styleId="Figurenote">
    <w:name w:val="Figure note"/>
    <w:pPr>
      <w:snapToGrid w:val="0"/>
      <w:spacing w:after="100" w:line="280" w:lineRule="exact"/>
      <w:jc w:val="both"/>
      <w:ind w:firstLineChars="0"/>
    </w:pPr>
    <w:rPr>
      <w:rFonts w:ascii="Times New Roman" w:eastAsia="宋体" w:hAnsi="Times New Roman" w:cs="Times New Roman"/>
      <w:color w:val="000000"/>
      <w:sz w:val="18"/>
    </w:rPr>
  </w:style>
  <w:style w:type="paragraph" w:customStyle="1" w:styleId="书稿辅助标题">
    <w:name w:val="书稿辅助标题"/>
    <w:pPr>
      <w:jc w:val="left"/>
      <w:spacing w:line="360" w:lineRule="auto" w:before="0" w:after="0" w:beforeLines="100" w:afterLines="50"/>
      <w:ind w:left="0" w:firstLine="0" w:firstLineChars="0"/>
      <w:keepNext/>
      <w:keepLines/>
      <w:widowControl/>
      <w:snapToGrid w:val="0"/>
      <w:outlineLvl w:val="2"/>
    </w:pPr>
    <w:rPr>
      <w:rFonts w:ascii="Times New Roman" w:hAnsi="Times New Roman" w:cs="Times New Roman" w:eastAsia="黑体"/>
      <w:b w:val="0"/>
      <w:i w:val="0"/>
      <w:color w:val="000000"/>
      <w:sz w:val="24"/>
    </w:rPr>
  </w:style>
  <w:style w:type="paragraph" w:customStyle="1" w:styleId="书稿习题">
    <w:name w:val="书稿习题"/>
    <w:pPr>
      <w:jc w:val="both"/>
      <w:spacing w:line="360" w:lineRule="auto" w:before="0" w:after="0" w:beforeLines="0" w:afterLines="0"/>
      <w:ind w:left="480" w:hanging="480"/>
      <w:widowControl/>
      <w:snapToGrid w:val="0"/>
    </w:pPr>
    <w:rPr>
      <w:rFonts w:ascii="Times New Roman" w:hAnsi="Times New Roman" w:cs="Times New Roman" w:eastAsia="宋体"/>
      <w:b w:val="0"/>
      <w:i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hurd.gov.cn/gongkai/zc/wjk/art/2018/art_17339_234638.html" TargetMode="External"/><Relationship Id="rId18" Type="http://schemas.openxmlformats.org/officeDocument/2006/relationships/hyperlink" Target="https://std.samr.gov.cn/hb/search/stdHBDetailed?id=0FBC51FCE1A98F03E06397BE0A0AA245" TargetMode="External"/><Relationship Id="rId26" Type="http://schemas.openxmlformats.org/officeDocument/2006/relationships/hyperlink" Target="https://www.hyd.gov.hk/sc/our_projects/road_projects/hzmb_projects/6835th/index.html" TargetMode="External"/><Relationship Id="rId3" Type="http://schemas.openxmlformats.org/officeDocument/2006/relationships/styles" Target="styles.xml"/><Relationship Id="rId21" Type="http://schemas.openxmlformats.org/officeDocument/2006/relationships/hyperlink" Target="https://www.buildingsmart.org/standards/bsi-standards/industry-foundation-classes/?lang=en" TargetMode="External"/><Relationship Id="rId7" Type="http://schemas.openxmlformats.org/officeDocument/2006/relationships/endnotes" Target="endnotes.xml"/><Relationship Id="rId12" Type="http://schemas.openxmlformats.org/officeDocument/2006/relationships/hyperlink" Target="https://std.samr.gov.cn/gb/search/gbDetailed?id=71F772D79F7BD3A7E05397BE0A0AB82A" TargetMode="External"/><Relationship Id="rId17" Type="http://schemas.openxmlformats.org/officeDocument/2006/relationships/hyperlink" Target="https://slt.hunan.gov.cn/slt/xxgk/slxw/slxw_1/202601/t20260126_33902329.html" TargetMode="External"/><Relationship Id="rId25" Type="http://schemas.openxmlformats.org/officeDocument/2006/relationships/hyperlink" Target="https://fjb.nea.gov.cn/dtyw/hyxx/202311/t20231113_211699.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book.chinabuilding.com.cn/zbooklib/book/detail/show?SiteID=1&amp;bookID=59350" TargetMode="External"/><Relationship Id="rId20" Type="http://schemas.openxmlformats.org/officeDocument/2006/relationships/hyperlink" Target="https://www.mohurd.gov.cn/gongkai/zc/wjk/art/2019/art_17339_240119.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d.samr.gov.cn/gb/search/gbDetailed?id=71F772D808DCD3A7E05397BE0A0AB82A" TargetMode="External"/><Relationship Id="rId24" Type="http://schemas.openxmlformats.org/officeDocument/2006/relationships/hyperlink" Target="https://wap.sasac.gov.cn/n2588025/n13790238/n16406218/c34422221/content.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book.chinabuilding.com.cn/zbooklib/book/detail/show?SiteID=1&amp;bookID=57783" TargetMode="External"/><Relationship Id="rId23" Type="http://schemas.openxmlformats.org/officeDocument/2006/relationships/hyperlink" Target="https://tgf.ctg.com.cn/sxjt/sxgc4/bwsx/2024081104052424463/index.html"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ebook.chinabuilding.com.cn/zbooklib/book/detail/show?SiteID=1&amp;bookID=73539"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book.chinabuilding.com.cn/zbooklib/book/detail/show?SiteID=1&amp;bookID=57782" TargetMode="External"/><Relationship Id="rId22" Type="http://schemas.openxmlformats.org/officeDocument/2006/relationships/hyperlink" Target="https://gzw.beijing.gov.cn/yggq/qydt/202011/t20201111_2132582.html"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6221</Words>
  <Characters>6969</Characters>
  <Application>Microsoft Office Word</Application>
  <DocSecurity>0</DocSecurity>
  <Lines>268</Lines>
  <Paragraphs>253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第1章 绪论 工程图学与信息化建模</dc:title>
  <dc:subject>信息化建模教材</dc:subject>
  <dc:creator/>
  <cp:keywords/>
  <dc:description>generated by python-docx</dc:description>
  <cp:lastModifiedBy>宇合 江</cp:lastModifiedBy>
  <cp:revision>2</cp:revision>
  <dcterms:created xsi:type="dcterms:W3CDTF">2013-12-23T23:15:00Z</dcterms:created>
  <dcterms:modified xsi:type="dcterms:W3CDTF">2026-10-26T13:03:00Z</dcterms:modified>
  <cp:category/>
</cp:coreProperties>
</file>